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1EB0" w14:textId="77777777" w:rsidR="00B46A03" w:rsidRPr="00A722B6" w:rsidRDefault="00B46A03" w:rsidP="00B46A03">
      <w:pPr>
        <w:pStyle w:val="Szvegtrzs"/>
        <w:widowControl/>
        <w:tabs>
          <w:tab w:val="left" w:pos="707"/>
        </w:tabs>
        <w:jc w:val="center"/>
        <w:rPr>
          <w:rFonts w:cs="Times New Roman"/>
          <w:iCs/>
          <w:color w:val="000000"/>
        </w:rPr>
      </w:pPr>
      <w:r w:rsidRPr="00873B25">
        <w:rPr>
          <w:rFonts w:cs="Times New Roman"/>
          <w:b/>
          <w:iCs/>
          <w:color w:val="000000"/>
        </w:rPr>
        <w:t>A lakhatási támogatásra kiírt pályázat értékelési szempontjai</w:t>
      </w:r>
      <w:r w:rsidRPr="00A722B6">
        <w:rPr>
          <w:rFonts w:cs="Times New Roman"/>
          <w:iCs/>
          <w:color w:val="000000"/>
        </w:rPr>
        <w:t>:</w:t>
      </w:r>
    </w:p>
    <w:p w14:paraId="37F14923" w14:textId="77777777" w:rsidR="00B46A03" w:rsidRPr="00A722B6" w:rsidRDefault="00B46A03" w:rsidP="00B46A03">
      <w:pPr>
        <w:pStyle w:val="Szvegtrzs"/>
        <w:widowControl/>
        <w:tabs>
          <w:tab w:val="left" w:pos="707"/>
        </w:tabs>
        <w:spacing w:after="0"/>
        <w:rPr>
          <w:rFonts w:cs="Times New Roman"/>
          <w:iCs/>
          <w:color w:val="000000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5090"/>
        <w:gridCol w:w="3226"/>
      </w:tblGrid>
      <w:tr w:rsidR="00B46A03" w:rsidRPr="00A722B6" w14:paraId="4FB86AD8" w14:textId="77777777" w:rsidTr="00F66F76"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F9FA7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C9EA3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b/>
                <w:bCs/>
                <w:iCs/>
                <w:color w:val="000000"/>
              </w:rPr>
              <w:t xml:space="preserve">Értékelési szempont </w:t>
            </w:r>
          </w:p>
          <w:p w14:paraId="5E8EAC4E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5050E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b/>
                <w:bCs/>
                <w:iCs/>
                <w:color w:val="000000"/>
              </w:rPr>
              <w:t xml:space="preserve">Adható maximális pontszám </w:t>
            </w:r>
          </w:p>
          <w:p w14:paraId="7E4F9FF5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</w:tr>
      <w:tr w:rsidR="00B46A03" w:rsidRPr="00A722B6" w14:paraId="19D4F2EC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70E7CF96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081395A5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Szociális helyzet értékelése</w:t>
            </w:r>
          </w:p>
          <w:p w14:paraId="7260A0FF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14:paraId="000D5079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45 pont</w:t>
            </w:r>
          </w:p>
        </w:tc>
      </w:tr>
      <w:tr w:rsidR="00B46A03" w:rsidRPr="00A722B6" w14:paraId="1AB3E452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80DB9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  <w:u w:val="single"/>
              </w:rPr>
            </w:pPr>
            <w:r w:rsidRPr="00A722B6">
              <w:rPr>
                <w:rFonts w:cs="Times New Roman"/>
                <w:iCs/>
                <w:color w:val="000000"/>
              </w:rPr>
              <w:t>1.1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32601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Az egy háztartásban élők </w:t>
            </w:r>
            <w:r w:rsidRPr="00A722B6">
              <w:rPr>
                <w:rFonts w:cs="Times New Roman"/>
                <w:b/>
                <w:iCs/>
                <w:color w:val="000000"/>
                <w:u w:val="single"/>
              </w:rPr>
              <w:t>egy főre jutó jövedelme</w:t>
            </w: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: </w:t>
            </w:r>
          </w:p>
          <w:p w14:paraId="4CC5B3B2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a háztartásában az egy főre jutó nettó jövedelem nem haladja meg a mindenkori </w:t>
            </w:r>
            <w:r>
              <w:rPr>
                <w:rFonts w:cs="Times New Roman"/>
                <w:iCs/>
                <w:color w:val="000000"/>
              </w:rPr>
              <w:t xml:space="preserve">minimálbér nettó </w:t>
            </w:r>
            <w:proofErr w:type="gramStart"/>
            <w:r>
              <w:rPr>
                <w:rFonts w:cs="Times New Roman"/>
                <w:iCs/>
                <w:color w:val="000000"/>
              </w:rPr>
              <w:t>összegét  (</w:t>
            </w:r>
            <w:proofErr w:type="gramEnd"/>
            <w:r>
              <w:rPr>
                <w:rFonts w:cs="Times New Roman"/>
                <w:iCs/>
                <w:color w:val="000000"/>
              </w:rPr>
              <w:t>2022</w:t>
            </w:r>
            <w:r w:rsidRPr="00A722B6">
              <w:rPr>
                <w:rFonts w:cs="Times New Roman"/>
                <w:iCs/>
                <w:color w:val="000000"/>
              </w:rPr>
              <w:t xml:space="preserve">-ban </w:t>
            </w:r>
            <w:r>
              <w:rPr>
                <w:sz w:val="22"/>
                <w:szCs w:val="22"/>
                <w:lang w:eastAsia="ar-SA"/>
              </w:rPr>
              <w:t>133.000</w:t>
            </w:r>
            <w:r w:rsidRPr="006101AE">
              <w:rPr>
                <w:sz w:val="22"/>
                <w:szCs w:val="22"/>
                <w:lang w:eastAsia="ar-SA"/>
              </w:rPr>
              <w:t>.-Ft</w:t>
            </w:r>
            <w:r w:rsidRPr="00A722B6">
              <w:rPr>
                <w:rFonts w:cs="Times New Roman"/>
                <w:iCs/>
                <w:color w:val="000000"/>
              </w:rPr>
              <w:t xml:space="preserve">)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30 pont</w:t>
            </w:r>
          </w:p>
          <w:p w14:paraId="578B984B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a háztartásában az egy főre jutó nettó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>jövedelem  a</w:t>
            </w:r>
            <w:proofErr w:type="gramEnd"/>
            <w:r w:rsidRPr="00A722B6">
              <w:rPr>
                <w:rFonts w:cs="Times New Roman"/>
                <w:iCs/>
                <w:color w:val="000000"/>
              </w:rPr>
              <w:t xml:space="preserve"> mindenkori minimálbér nettó összegének 100 % - 150 % között van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 pont</w:t>
            </w:r>
          </w:p>
          <w:p w14:paraId="215E4CEA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a háztartásában az egy főre jutó nettó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>jövedelem  a</w:t>
            </w:r>
            <w:proofErr w:type="gramEnd"/>
            <w:r w:rsidRPr="00A722B6">
              <w:rPr>
                <w:rFonts w:cs="Times New Roman"/>
                <w:iCs/>
                <w:color w:val="000000"/>
              </w:rPr>
              <w:t xml:space="preserve"> mindenkori minimálbér nettó összegének 150 % - 200% között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9746A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pont </w:t>
            </w:r>
          </w:p>
        </w:tc>
      </w:tr>
      <w:tr w:rsidR="00B46A03" w:rsidRPr="00A722B6" w14:paraId="21A6058F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AE127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  <w:u w:val="single"/>
              </w:rPr>
            </w:pPr>
            <w:r w:rsidRPr="00A722B6">
              <w:rPr>
                <w:rFonts w:cs="Times New Roman"/>
                <w:iCs/>
                <w:color w:val="000000"/>
              </w:rPr>
              <w:t>1.2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53F6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Ha a </w:t>
            </w:r>
            <w:r w:rsidRPr="00A722B6">
              <w:rPr>
                <w:rFonts w:cs="Times New Roman"/>
                <w:b/>
                <w:iCs/>
                <w:color w:val="000000"/>
                <w:u w:val="single"/>
              </w:rPr>
              <w:t>pályázó eltartó:</w:t>
            </w: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 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14:paraId="271DC017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-1 gyermek esetén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14:paraId="3B5EF3EB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minden további gyermek esetén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5-5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055BD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15 pont </w:t>
            </w:r>
          </w:p>
        </w:tc>
      </w:tr>
      <w:tr w:rsidR="00B46A03" w:rsidRPr="00A722B6" w14:paraId="6969DA34" w14:textId="77777777" w:rsidTr="00F66F76">
        <w:tc>
          <w:tcPr>
            <w:tcW w:w="13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93006E1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284CDF7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A pályázó iskolai végzettsége alapján</w:t>
            </w:r>
          </w:p>
          <w:p w14:paraId="7BDE49AE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- felsőfokú végzettség megléte, vagy annak megszerzésére irányuló tanulmányokat folytat</w:t>
            </w:r>
          </w:p>
          <w:p w14:paraId="19BD86F5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                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 pont</w:t>
            </w:r>
          </w:p>
          <w:p w14:paraId="16EF2A77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érettségire épülő szakképesítés megléte, vagy annak megszerzésére irányuló iskolai tanulmányokat folytat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03CD951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20 pont</w:t>
            </w:r>
          </w:p>
        </w:tc>
      </w:tr>
      <w:tr w:rsidR="00B46A03" w:rsidRPr="00A722B6" w14:paraId="4FB7D187" w14:textId="77777777" w:rsidTr="00F66F76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</w:tcPr>
          <w:p w14:paraId="1CE4FEBE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3.</w:t>
            </w: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</w:tcPr>
          <w:p w14:paraId="180D908C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A pályázó munkaviszonyának, hallgatói jogviszonyának értékelése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 w:themeFill="text2" w:themeFillTint="66"/>
          </w:tcPr>
          <w:p w14:paraId="5B6F1650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30 pont</w:t>
            </w:r>
          </w:p>
        </w:tc>
      </w:tr>
      <w:tr w:rsidR="00B46A03" w:rsidRPr="00A722B6" w14:paraId="5F7687D0" w14:textId="77777777" w:rsidTr="00F66F76">
        <w:tc>
          <w:tcPr>
            <w:tcW w:w="13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E1969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3</w:t>
            </w:r>
            <w:r>
              <w:rPr>
                <w:rFonts w:cs="Times New Roman"/>
                <w:iCs/>
                <w:color w:val="000000"/>
              </w:rPr>
              <w:t>.1.</w:t>
            </w:r>
          </w:p>
        </w:tc>
        <w:tc>
          <w:tcPr>
            <w:tcW w:w="50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1A42B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A pályázót foglalkoztató </w:t>
            </w:r>
            <w:r w:rsidRPr="00A722B6">
              <w:rPr>
                <w:rFonts w:cs="Times New Roman"/>
                <w:iCs/>
                <w:color w:val="000000"/>
              </w:rPr>
              <w:t>munkáltató típusa alapján:</w:t>
            </w:r>
          </w:p>
          <w:p w14:paraId="3D13C2FD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1"/>
              </w:numPr>
              <w:tabs>
                <w:tab w:val="clear" w:pos="720"/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önkormányzati intézményben, vagy annak gazdasági társaságainál történő elhelyezkedés esetén       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14:paraId="3A2C34AF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1"/>
              </w:numPr>
              <w:tabs>
                <w:tab w:val="clear" w:pos="720"/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állami fenntartású szervezetnél történő elhelyezkedés esetén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</w:t>
            </w:r>
            <w:r>
              <w:rPr>
                <w:rFonts w:cs="Times New Roman"/>
                <w:b/>
                <w:iCs/>
                <w:color w:val="000000"/>
              </w:rPr>
              <w:t>5</w:t>
            </w:r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  <w:p w14:paraId="4CEDF012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1"/>
              </w:numPr>
              <w:tabs>
                <w:tab w:val="clear" w:pos="720"/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versenyszférában történő elhelyezkedés esetén    </w:t>
            </w:r>
            <w:r w:rsidRPr="00A722B6">
              <w:rPr>
                <w:rFonts w:cs="Times New Roman"/>
                <w:iCs/>
                <w:color w:val="000000"/>
              </w:rPr>
              <w:tab/>
              <w:t xml:space="preserve">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</w:t>
            </w:r>
            <w:r>
              <w:rPr>
                <w:rFonts w:cs="Times New Roman"/>
                <w:b/>
                <w:iCs/>
                <w:color w:val="000000"/>
              </w:rPr>
              <w:t>0</w:t>
            </w:r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1FBBDA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20 pont </w:t>
            </w:r>
          </w:p>
        </w:tc>
      </w:tr>
      <w:tr w:rsidR="00B46A03" w:rsidRPr="00A722B6" w14:paraId="53EC247E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52CCC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lastRenderedPageBreak/>
              <w:t>3.2.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48014" w14:textId="77777777" w:rsidR="00B46A03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A pályázó munkaszerződése, hallgatói jogviszonya </w:t>
            </w:r>
          </w:p>
          <w:p w14:paraId="34423D4F" w14:textId="77777777" w:rsidR="00B46A03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alapján:</w:t>
            </w:r>
          </w:p>
          <w:p w14:paraId="6C36C275" w14:textId="77777777" w:rsidR="00B46A03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6D0527">
              <w:rPr>
                <w:rFonts w:cs="Times New Roman"/>
                <w:iCs/>
                <w:color w:val="000000"/>
              </w:rPr>
              <w:t xml:space="preserve">munkaszerződése </w:t>
            </w:r>
            <w:proofErr w:type="gramStart"/>
            <w:r>
              <w:rPr>
                <w:rFonts w:cs="Times New Roman"/>
                <w:iCs/>
                <w:color w:val="000000"/>
              </w:rPr>
              <w:t>határozatlan  …</w:t>
            </w:r>
            <w:proofErr w:type="gramEnd"/>
            <w:r>
              <w:rPr>
                <w:rFonts w:cs="Times New Roman"/>
                <w:iCs/>
                <w:color w:val="000000"/>
              </w:rPr>
              <w:t>……… 10 pont</w:t>
            </w:r>
          </w:p>
          <w:p w14:paraId="0BCEFCA4" w14:textId="77777777" w:rsidR="00B46A03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6D0527">
              <w:rPr>
                <w:rFonts w:cs="Times New Roman"/>
                <w:iCs/>
                <w:color w:val="000000"/>
              </w:rPr>
              <w:t xml:space="preserve">munkaszerződése </w:t>
            </w:r>
            <w:r>
              <w:rPr>
                <w:rFonts w:cs="Times New Roman"/>
                <w:iCs/>
                <w:color w:val="000000"/>
              </w:rPr>
              <w:t>határozott időtartamú      5 pont</w:t>
            </w:r>
          </w:p>
          <w:p w14:paraId="1EBED60E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hallgatói jogviszonnyal rendelkezik            1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68C96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10 pont</w:t>
            </w:r>
          </w:p>
        </w:tc>
      </w:tr>
      <w:tr w:rsidR="00B46A03" w:rsidRPr="00A722B6" w14:paraId="422BD47B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2540D2FC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42EAE5E3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Előnyt jelentő szempontok:</w:t>
            </w:r>
          </w:p>
          <w:p w14:paraId="48821539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14:paraId="41750ACB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20 pont</w:t>
            </w:r>
          </w:p>
        </w:tc>
      </w:tr>
      <w:tr w:rsidR="00B46A03" w:rsidRPr="00A722B6" w14:paraId="60643751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33825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4.1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DA588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A pályázat benyújtása előtt </w:t>
            </w:r>
            <w:r w:rsidRPr="00A722B6">
              <w:rPr>
                <w:rFonts w:cs="Times New Roman"/>
                <w:iCs/>
                <w:color w:val="000000"/>
              </w:rPr>
              <w:tab/>
              <w:t xml:space="preserve">a pályázó végzett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>e  önkéntes</w:t>
            </w:r>
            <w:proofErr w:type="gramEnd"/>
            <w:r w:rsidRPr="00A722B6">
              <w:rPr>
                <w:rFonts w:cs="Times New Roman"/>
                <w:iCs/>
                <w:color w:val="000000"/>
              </w:rPr>
              <w:t xml:space="preserve"> munkát : </w:t>
            </w:r>
          </w:p>
          <w:p w14:paraId="0D940DD4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2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igen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14:paraId="03E33312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2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nem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0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14:paraId="3E2ADDBB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91E83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5 pont </w:t>
            </w:r>
          </w:p>
        </w:tc>
      </w:tr>
      <w:tr w:rsidR="00B46A03" w:rsidRPr="00A722B6" w14:paraId="4F745603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B134F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4.2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0CBB0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Sikeres pályázat esetén a Tokajban végezni kívánt önkéntes munkára tett vállalás:</w:t>
            </w:r>
          </w:p>
          <w:p w14:paraId="5C6300DE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3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önkéntes nap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15 pont</w:t>
            </w:r>
          </w:p>
          <w:p w14:paraId="5D252DFF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3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20 önkéntes nap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 pont</w:t>
            </w:r>
          </w:p>
          <w:p w14:paraId="7662784F" w14:textId="77777777" w:rsidR="00B46A03" w:rsidRPr="00A722B6" w:rsidRDefault="00B46A03" w:rsidP="00B46A03">
            <w:pPr>
              <w:pStyle w:val="Szvegtrzs"/>
              <w:widowControl/>
              <w:numPr>
                <w:ilvl w:val="0"/>
                <w:numId w:val="3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10 önkéntes nap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AE6563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15 pont </w:t>
            </w:r>
          </w:p>
        </w:tc>
      </w:tr>
      <w:tr w:rsidR="00B46A03" w:rsidRPr="00A722B6" w14:paraId="679113BD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3D14A322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5BC3145C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A lakhatási támogatás vonatkozásában kiegészítő szempont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14:paraId="65F0F26C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6</w:t>
            </w:r>
            <w:r w:rsidRPr="00A722B6">
              <w:rPr>
                <w:rFonts w:cs="Times New Roman"/>
                <w:iCs/>
                <w:color w:val="000000"/>
              </w:rPr>
              <w:t>0 pont</w:t>
            </w:r>
          </w:p>
        </w:tc>
      </w:tr>
      <w:tr w:rsidR="00B46A03" w:rsidRPr="00A722B6" w14:paraId="678EB3E0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F3930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</w:t>
            </w:r>
            <w:r w:rsidRPr="00A722B6">
              <w:rPr>
                <w:rFonts w:cs="Times New Roman"/>
                <w:iCs/>
                <w:color w:val="000000"/>
              </w:rPr>
              <w:t>.1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1C61F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proofErr w:type="spellStart"/>
            <w:r w:rsidRPr="00A722B6">
              <w:rPr>
                <w:rFonts w:cs="Times New Roman"/>
                <w:iCs/>
                <w:color w:val="000000"/>
              </w:rPr>
              <w:t>Együttköltöző</w:t>
            </w:r>
            <w:proofErr w:type="spellEnd"/>
            <w:r w:rsidRPr="00A722B6">
              <w:rPr>
                <w:rFonts w:cs="Times New Roman"/>
                <w:iCs/>
                <w:color w:val="000000"/>
              </w:rPr>
              <w:t xml:space="preserve"> személyek száma:</w:t>
            </w:r>
          </w:p>
          <w:p w14:paraId="748A6B60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Házastárssal, vagy élettárssal és gyermekkel költözés esetén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14:paraId="7D463317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Házastárssal, vagy élettárssal költözés esetén </w:t>
            </w:r>
          </w:p>
          <w:p w14:paraId="0922E4E2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            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 xml:space="preserve">15 pont </w:t>
            </w:r>
          </w:p>
          <w:p w14:paraId="1AB35864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egyedülálló fiatal költözése esetén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 pont</w:t>
            </w:r>
            <w:r w:rsidRPr="00A722B6">
              <w:rPr>
                <w:rFonts w:cs="Times New Roman"/>
                <w:iCs/>
                <w:color w:val="000000"/>
              </w:rPr>
              <w:t xml:space="preserve">  </w:t>
            </w:r>
          </w:p>
          <w:p w14:paraId="6D52C732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0C553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20 pont </w:t>
            </w:r>
          </w:p>
        </w:tc>
      </w:tr>
      <w:tr w:rsidR="00B46A03" w:rsidRPr="00A722B6" w14:paraId="105AFA6D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79774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</w:t>
            </w:r>
            <w:r w:rsidRPr="00A722B6">
              <w:rPr>
                <w:rFonts w:cs="Times New Roman"/>
                <w:iCs/>
                <w:color w:val="000000"/>
              </w:rPr>
              <w:t>.2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A1961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A pályázó életkora</w:t>
            </w:r>
          </w:p>
          <w:p w14:paraId="24CC68B8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év alatti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 pont</w:t>
            </w:r>
          </w:p>
          <w:p w14:paraId="50DA2373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év feletti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ECCFD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10 pont </w:t>
            </w:r>
          </w:p>
        </w:tc>
      </w:tr>
      <w:tr w:rsidR="00B46A03" w:rsidRPr="00A722B6" w14:paraId="40832473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5EC63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5.3.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A3BB3" w14:textId="77777777" w:rsidR="00B46A03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A pályázó jövőképe</w:t>
            </w:r>
          </w:p>
          <w:p w14:paraId="28212289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Lakhatással, megélhetéssel, családalapítással kapcsolatos jövőbeli tervei, Tokaj szerepe a pályázó életében                                        </w:t>
            </w:r>
            <w:r w:rsidRPr="00820DB8">
              <w:rPr>
                <w:rFonts w:cs="Times New Roman"/>
                <w:b/>
                <w:iCs/>
                <w:color w:val="000000"/>
              </w:rPr>
              <w:t>0-</w:t>
            </w:r>
            <w:r>
              <w:rPr>
                <w:rFonts w:cs="Times New Roman"/>
                <w:b/>
                <w:iCs/>
                <w:color w:val="000000"/>
              </w:rPr>
              <w:t>3</w:t>
            </w:r>
            <w:r w:rsidRPr="00820DB8">
              <w:rPr>
                <w:rFonts w:cs="Times New Roman"/>
                <w:b/>
                <w:iCs/>
                <w:color w:val="000000"/>
              </w:rPr>
              <w:t>0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6B9D0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30 pont</w:t>
            </w:r>
          </w:p>
        </w:tc>
      </w:tr>
      <w:tr w:rsidR="00B46A03" w:rsidRPr="00A722B6" w14:paraId="634B7B7B" w14:textId="77777777" w:rsidTr="00F66F7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021A18FD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14:paraId="3E3D40C8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Mindösszesen lakhatási támogatás esetén</w:t>
            </w:r>
          </w:p>
          <w:p w14:paraId="4EEB0C34" w14:textId="77777777" w:rsidR="00B46A03" w:rsidRPr="00A722B6" w:rsidRDefault="00B46A03" w:rsidP="00F66F7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14:paraId="2A4005AD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b/>
                <w:iCs/>
                <w:color w:val="000000"/>
              </w:rPr>
            </w:pPr>
            <w:r w:rsidRPr="00A722B6">
              <w:rPr>
                <w:rFonts w:cs="Times New Roman"/>
                <w:b/>
                <w:iCs/>
                <w:color w:val="000000"/>
              </w:rPr>
              <w:t>1</w:t>
            </w:r>
            <w:r>
              <w:rPr>
                <w:rFonts w:cs="Times New Roman"/>
                <w:b/>
                <w:iCs/>
                <w:color w:val="000000"/>
              </w:rPr>
              <w:t>75</w:t>
            </w:r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  <w:p w14:paraId="75268F11" w14:textId="77777777" w:rsidR="00B46A03" w:rsidRPr="00A722B6" w:rsidRDefault="00B46A03" w:rsidP="00F66F7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</w:tr>
    </w:tbl>
    <w:p w14:paraId="61CD04B5" w14:textId="77777777" w:rsidR="00B46A03" w:rsidRPr="00A722B6" w:rsidRDefault="00B46A03" w:rsidP="00B46A03">
      <w:pPr>
        <w:pStyle w:val="Szvegtrzs"/>
        <w:widowControl/>
        <w:tabs>
          <w:tab w:val="left" w:pos="707"/>
        </w:tabs>
        <w:spacing w:after="0"/>
        <w:rPr>
          <w:rFonts w:cs="Times New Roman"/>
          <w:iCs/>
          <w:color w:val="000000"/>
        </w:rPr>
      </w:pPr>
    </w:p>
    <w:p w14:paraId="0AD4BFF1" w14:textId="77777777" w:rsidR="00B65AEA" w:rsidRDefault="00B65AEA"/>
    <w:sectPr w:rsidR="00B65AEA" w:rsidSect="00E048A1">
      <w:type w:val="continuous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</w:abstractNum>
  <w:num w:numId="1" w16cid:durableId="289017315">
    <w:abstractNumId w:val="0"/>
  </w:num>
  <w:num w:numId="2" w16cid:durableId="1886864020">
    <w:abstractNumId w:val="1"/>
  </w:num>
  <w:num w:numId="3" w16cid:durableId="2000961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26"/>
    <w:rsid w:val="00B46A03"/>
    <w:rsid w:val="00B65AEA"/>
    <w:rsid w:val="00D34F26"/>
    <w:rsid w:val="00E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2A8B-0AF4-4B6A-B679-46F1F89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6A0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6A0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B46A03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Dávid András</dc:creator>
  <cp:keywords/>
  <dc:description/>
  <cp:lastModifiedBy>Tóth Dávid András</cp:lastModifiedBy>
  <cp:revision>2</cp:revision>
  <dcterms:created xsi:type="dcterms:W3CDTF">2022-11-25T07:25:00Z</dcterms:created>
  <dcterms:modified xsi:type="dcterms:W3CDTF">2022-11-25T07:25:00Z</dcterms:modified>
</cp:coreProperties>
</file>