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618F6" w14:textId="77777777" w:rsidR="00095EE3" w:rsidRDefault="00095EE3" w:rsidP="00095EE3">
      <w:pPr>
        <w:jc w:val="center"/>
        <w:rPr>
          <w:rFonts w:ascii="Times New Roman" w:hAnsi="Times New Roman"/>
          <w:b/>
          <w:bCs/>
          <w:sz w:val="24"/>
          <w:szCs w:val="24"/>
          <w:u w:val="single"/>
        </w:rPr>
      </w:pPr>
      <w:r>
        <w:rPr>
          <w:rFonts w:ascii="Times New Roman" w:hAnsi="Times New Roman"/>
          <w:b/>
          <w:bCs/>
          <w:sz w:val="24"/>
          <w:szCs w:val="24"/>
          <w:u w:val="single"/>
        </w:rPr>
        <w:t>Tokaj Város Önkormányzat Európai Unió támogatásával megvalósuló fejlesztései</w:t>
      </w:r>
    </w:p>
    <w:p w14:paraId="0A036FF2" w14:textId="77777777" w:rsidR="0082710A" w:rsidRPr="0082710A" w:rsidRDefault="0082710A" w:rsidP="0082710A">
      <w:pPr>
        <w:pStyle w:val="Listaszerbekezds"/>
        <w:spacing w:after="0" w:line="240" w:lineRule="auto"/>
        <w:ind w:left="0"/>
        <w:jc w:val="both"/>
        <w:rPr>
          <w:rFonts w:ascii="Times New Roman" w:hAnsi="Times New Roman" w:cs="Times New Roman"/>
          <w:sz w:val="24"/>
          <w:szCs w:val="24"/>
        </w:rPr>
      </w:pPr>
    </w:p>
    <w:p w14:paraId="40EA3FFA" w14:textId="7A026A0A" w:rsidR="0082710A" w:rsidRPr="0082710A" w:rsidRDefault="0082710A" w:rsidP="0082710A">
      <w:pPr>
        <w:pStyle w:val="Listaszerbekezds"/>
        <w:spacing w:after="0" w:line="240" w:lineRule="auto"/>
        <w:ind w:left="0"/>
        <w:jc w:val="center"/>
        <w:rPr>
          <w:rFonts w:ascii="Times New Roman" w:hAnsi="Times New Roman" w:cs="Times New Roman"/>
          <w:b/>
          <w:bCs/>
          <w:sz w:val="24"/>
          <w:szCs w:val="24"/>
          <w:u w:val="single"/>
        </w:rPr>
      </w:pPr>
      <w:r w:rsidRPr="0082710A">
        <w:rPr>
          <w:rFonts w:ascii="Times New Roman" w:hAnsi="Times New Roman" w:cs="Times New Roman"/>
          <w:b/>
          <w:bCs/>
          <w:sz w:val="24"/>
          <w:szCs w:val="24"/>
          <w:u w:val="single"/>
        </w:rPr>
        <w:t>2018.</w:t>
      </w:r>
    </w:p>
    <w:p w14:paraId="33412374" w14:textId="77777777" w:rsidR="00E53EDF" w:rsidRDefault="00E53EDF" w:rsidP="00E53EDF">
      <w:pPr>
        <w:jc w:val="both"/>
        <w:rPr>
          <w:rFonts w:ascii="Times New Roman" w:hAnsi="Times New Roman"/>
          <w:sz w:val="24"/>
          <w:szCs w:val="24"/>
        </w:rPr>
      </w:pPr>
    </w:p>
    <w:p w14:paraId="75DEBEE3" w14:textId="7D4E1035" w:rsidR="005E4461" w:rsidRPr="005E4461" w:rsidRDefault="005E4461" w:rsidP="005E4461">
      <w:pPr>
        <w:jc w:val="center"/>
        <w:rPr>
          <w:rFonts w:ascii="Times New Roman" w:hAnsi="Times New Roman"/>
          <w:b/>
          <w:bCs/>
          <w:sz w:val="24"/>
          <w:szCs w:val="24"/>
        </w:rPr>
      </w:pPr>
    </w:p>
    <w:p w14:paraId="02EDA7FF" w14:textId="18AA3B01" w:rsidR="005E4461" w:rsidRPr="00E14713" w:rsidRDefault="00E14713" w:rsidP="005E4461">
      <w:pPr>
        <w:jc w:val="both"/>
        <w:rPr>
          <w:rFonts w:ascii="Times New Roman" w:hAnsi="Times New Roman"/>
          <w:b/>
          <w:sz w:val="24"/>
          <w:szCs w:val="24"/>
          <w:u w:val="single"/>
        </w:rPr>
      </w:pPr>
      <w:r w:rsidRPr="00E14713">
        <w:rPr>
          <w:rFonts w:ascii="Times New Roman" w:hAnsi="Times New Roman"/>
          <w:b/>
          <w:sz w:val="24"/>
          <w:szCs w:val="24"/>
          <w:u w:val="single"/>
        </w:rPr>
        <w:t>VP – Külterületi utak fejlesztésé</w:t>
      </w:r>
    </w:p>
    <w:p w14:paraId="20DFABEA" w14:textId="55A664F0" w:rsidR="00E14713" w:rsidRDefault="00E14713" w:rsidP="005E4461">
      <w:pPr>
        <w:jc w:val="both"/>
        <w:rPr>
          <w:rFonts w:ascii="Times New Roman" w:hAnsi="Times New Roman"/>
          <w:bCs/>
          <w:sz w:val="24"/>
          <w:szCs w:val="24"/>
        </w:rPr>
      </w:pPr>
    </w:p>
    <w:p w14:paraId="407922D1" w14:textId="77777777" w:rsidR="004327EB" w:rsidRPr="004327EB" w:rsidRDefault="004327EB" w:rsidP="004327EB">
      <w:pPr>
        <w:jc w:val="both"/>
        <w:rPr>
          <w:rFonts w:ascii="Times New Roman" w:eastAsia="Calibri" w:hAnsi="Times New Roman"/>
          <w:sz w:val="24"/>
          <w:szCs w:val="24"/>
        </w:rPr>
      </w:pPr>
      <w:r w:rsidRPr="004327EB">
        <w:rPr>
          <w:rFonts w:ascii="Times New Roman" w:eastAsia="Calibri" w:hAnsi="Times New Roman"/>
          <w:sz w:val="24"/>
          <w:szCs w:val="24"/>
        </w:rPr>
        <w:t>A Vidékfejlesztési Program keretén belül a Vidékfejlesztési Program Irányító Hatósága, mint Támogató által 2016.11.23. napján meghirdetett, Külterületi helyi közutak fejlesztése, önkormányzati utak kezeléséhez, állapotjavításához, karbantartásához szükséges erő- és munkagépek beszerzése című, VP6-7.2.1-7.4.1.2-16 kódszámú felhívás alapján, Tokaj Város Önkormányzata, mint támogatást igénylő 2017.02.09 –én 1827134945 iratazonosító számú támogatási kérelmet nyújtott be.</w:t>
      </w:r>
    </w:p>
    <w:p w14:paraId="0239731D" w14:textId="77777777" w:rsidR="004327EB" w:rsidRPr="004327EB" w:rsidRDefault="004327EB" w:rsidP="004327EB">
      <w:pPr>
        <w:jc w:val="both"/>
        <w:rPr>
          <w:rFonts w:ascii="Times New Roman" w:eastAsia="Calibri" w:hAnsi="Times New Roman"/>
          <w:sz w:val="24"/>
          <w:szCs w:val="24"/>
        </w:rPr>
      </w:pPr>
      <w:r w:rsidRPr="004327EB">
        <w:rPr>
          <w:rFonts w:ascii="Times New Roman" w:eastAsia="Calibri" w:hAnsi="Times New Roman"/>
          <w:sz w:val="24"/>
          <w:szCs w:val="24"/>
        </w:rPr>
        <w:t>Melyet a támogató 2018.03.20-án pozitív támogatói döntésben részesített.</w:t>
      </w:r>
    </w:p>
    <w:p w14:paraId="7101C213" w14:textId="77777777" w:rsidR="004327EB" w:rsidRPr="004327EB" w:rsidRDefault="004327EB" w:rsidP="004327EB">
      <w:pPr>
        <w:jc w:val="both"/>
        <w:rPr>
          <w:rFonts w:ascii="Times New Roman" w:eastAsia="Calibri" w:hAnsi="Times New Roman"/>
          <w:sz w:val="24"/>
          <w:szCs w:val="24"/>
        </w:rPr>
      </w:pPr>
    </w:p>
    <w:p w14:paraId="6B7F48FD" w14:textId="77777777" w:rsidR="004327EB" w:rsidRPr="004327EB" w:rsidRDefault="004327EB" w:rsidP="004327EB">
      <w:pPr>
        <w:jc w:val="both"/>
        <w:rPr>
          <w:rFonts w:ascii="Times New Roman" w:eastAsia="Calibri" w:hAnsi="Times New Roman"/>
          <w:sz w:val="24"/>
          <w:szCs w:val="24"/>
        </w:rPr>
      </w:pPr>
      <w:r w:rsidRPr="004327EB">
        <w:rPr>
          <w:rFonts w:ascii="Times New Roman" w:eastAsia="Calibri" w:hAnsi="Times New Roman"/>
          <w:sz w:val="24"/>
          <w:szCs w:val="24"/>
        </w:rPr>
        <w:t>A beruházás során a 0142/2 helyrajzi számú Szerelmi dűlőút, valamint a 2777 és 2795 helyrajzi számú Dessewffy dűlő utak kerülnek felújításra.</w:t>
      </w:r>
    </w:p>
    <w:p w14:paraId="0D200D05" w14:textId="77777777" w:rsidR="004327EB" w:rsidRPr="004327EB" w:rsidRDefault="004327EB" w:rsidP="004327EB">
      <w:pPr>
        <w:jc w:val="both"/>
        <w:rPr>
          <w:rFonts w:ascii="Times New Roman" w:eastAsia="Calibri" w:hAnsi="Times New Roman"/>
          <w:sz w:val="24"/>
          <w:szCs w:val="24"/>
        </w:rPr>
      </w:pPr>
      <w:r w:rsidRPr="004327EB">
        <w:rPr>
          <w:rFonts w:ascii="Times New Roman" w:eastAsia="Calibri" w:hAnsi="Times New Roman"/>
          <w:sz w:val="24"/>
          <w:szCs w:val="24"/>
        </w:rPr>
        <w:t>A beruházás teljes költsége: 95.776.219 Ft</w:t>
      </w:r>
    </w:p>
    <w:p w14:paraId="21A03D14" w14:textId="77777777" w:rsidR="004327EB" w:rsidRPr="004327EB" w:rsidRDefault="004327EB" w:rsidP="004327EB">
      <w:pPr>
        <w:jc w:val="both"/>
        <w:rPr>
          <w:rFonts w:ascii="Times New Roman" w:eastAsia="Calibri" w:hAnsi="Times New Roman"/>
          <w:sz w:val="24"/>
          <w:szCs w:val="24"/>
        </w:rPr>
      </w:pPr>
      <w:r w:rsidRPr="004327EB">
        <w:rPr>
          <w:rFonts w:ascii="Times New Roman" w:eastAsia="Calibri" w:hAnsi="Times New Roman"/>
          <w:sz w:val="24"/>
          <w:szCs w:val="24"/>
        </w:rPr>
        <w:t>A támogatás összege: 86.198.588 Ft</w:t>
      </w:r>
    </w:p>
    <w:p w14:paraId="1B53EDF4" w14:textId="77777777" w:rsidR="004327EB" w:rsidRPr="004327EB" w:rsidRDefault="004327EB" w:rsidP="004327EB">
      <w:pPr>
        <w:jc w:val="both"/>
        <w:rPr>
          <w:rFonts w:ascii="Times New Roman" w:eastAsia="Calibri" w:hAnsi="Times New Roman"/>
          <w:sz w:val="24"/>
          <w:szCs w:val="24"/>
        </w:rPr>
      </w:pPr>
      <w:r w:rsidRPr="004327EB">
        <w:rPr>
          <w:rFonts w:ascii="Times New Roman" w:eastAsia="Calibri" w:hAnsi="Times New Roman"/>
          <w:sz w:val="24"/>
          <w:szCs w:val="24"/>
        </w:rPr>
        <w:t>Az önerő összege: 9.577.631 Ft.</w:t>
      </w:r>
    </w:p>
    <w:p w14:paraId="6B7B2147" w14:textId="75580272" w:rsidR="00E14713" w:rsidRDefault="00E14713" w:rsidP="004327EB">
      <w:pPr>
        <w:jc w:val="both"/>
        <w:rPr>
          <w:rFonts w:ascii="Times New Roman" w:hAnsi="Times New Roman"/>
          <w:bCs/>
          <w:sz w:val="24"/>
          <w:szCs w:val="24"/>
        </w:rPr>
      </w:pPr>
    </w:p>
    <w:p w14:paraId="4C62BE02" w14:textId="2D32B418" w:rsidR="00574273" w:rsidRDefault="00574273" w:rsidP="004327EB">
      <w:pPr>
        <w:jc w:val="both"/>
        <w:rPr>
          <w:rFonts w:ascii="Times New Roman" w:hAnsi="Times New Roman"/>
          <w:bCs/>
          <w:sz w:val="24"/>
          <w:szCs w:val="24"/>
        </w:rPr>
      </w:pPr>
      <w:r w:rsidRPr="00574273">
        <w:drawing>
          <wp:inline distT="0" distB="0" distL="0" distR="0" wp14:anchorId="52AD4F8D" wp14:editId="45B0F1EF">
            <wp:extent cx="6819900" cy="46418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9900" cy="464185"/>
                    </a:xfrm>
                    <a:prstGeom prst="rect">
                      <a:avLst/>
                    </a:prstGeom>
                    <a:noFill/>
                    <a:ln>
                      <a:noFill/>
                    </a:ln>
                  </pic:spPr>
                </pic:pic>
              </a:graphicData>
            </a:graphic>
          </wp:inline>
        </w:drawing>
      </w:r>
    </w:p>
    <w:p w14:paraId="04F001A0" w14:textId="77777777" w:rsidR="00574273" w:rsidRPr="004327EB" w:rsidRDefault="00574273" w:rsidP="004327EB">
      <w:pPr>
        <w:jc w:val="both"/>
        <w:rPr>
          <w:rFonts w:ascii="Times New Roman" w:hAnsi="Times New Roman"/>
          <w:bCs/>
          <w:sz w:val="24"/>
          <w:szCs w:val="24"/>
        </w:rPr>
      </w:pPr>
    </w:p>
    <w:p w14:paraId="5D531BD6" w14:textId="77777777" w:rsidR="00E14713" w:rsidRPr="005E4461" w:rsidRDefault="00E14713" w:rsidP="005E4461">
      <w:pPr>
        <w:jc w:val="both"/>
        <w:rPr>
          <w:rFonts w:ascii="Times New Roman" w:hAnsi="Times New Roman"/>
          <w:bCs/>
          <w:sz w:val="24"/>
          <w:szCs w:val="24"/>
        </w:rPr>
      </w:pPr>
    </w:p>
    <w:p w14:paraId="725281B4" w14:textId="77777777" w:rsidR="005E4461" w:rsidRPr="005E4461" w:rsidRDefault="005E4461" w:rsidP="005E4461">
      <w:pPr>
        <w:rPr>
          <w:rFonts w:ascii="Times New Roman" w:hAnsi="Times New Roman"/>
          <w:b/>
          <w:bCs/>
          <w:sz w:val="24"/>
          <w:szCs w:val="24"/>
          <w:u w:val="single"/>
        </w:rPr>
      </w:pPr>
      <w:r w:rsidRPr="005E4461">
        <w:rPr>
          <w:rFonts w:ascii="Times New Roman" w:hAnsi="Times New Roman"/>
          <w:b/>
          <w:bCs/>
          <w:sz w:val="24"/>
          <w:szCs w:val="24"/>
          <w:u w:val="single"/>
        </w:rPr>
        <w:t>TOP-2.1.3-16-BO1-2017-00020 - Tokaj város bel- és csapadékvíz védelmi rendszerének infrastruktúra-fejlesztése</w:t>
      </w:r>
    </w:p>
    <w:p w14:paraId="4A58102D" w14:textId="77777777" w:rsidR="00432DE2" w:rsidRDefault="00432DE2" w:rsidP="005E4461">
      <w:pPr>
        <w:jc w:val="both"/>
        <w:rPr>
          <w:rFonts w:ascii="Times New Roman" w:eastAsia="Calibri" w:hAnsi="Times New Roman"/>
          <w:sz w:val="24"/>
          <w:szCs w:val="24"/>
        </w:rPr>
      </w:pPr>
    </w:p>
    <w:p w14:paraId="6246CCB4" w14:textId="7A592E74" w:rsidR="005E4461" w:rsidRPr="005E4461" w:rsidRDefault="005E4461" w:rsidP="005E4461">
      <w:pPr>
        <w:jc w:val="both"/>
        <w:rPr>
          <w:rFonts w:ascii="Times New Roman" w:eastAsia="Calibri" w:hAnsi="Times New Roman"/>
          <w:sz w:val="24"/>
          <w:szCs w:val="24"/>
        </w:rPr>
      </w:pPr>
      <w:r w:rsidRPr="005E4461">
        <w:rPr>
          <w:rFonts w:ascii="Times New Roman" w:eastAsia="Calibri" w:hAnsi="Times New Roman"/>
          <w:sz w:val="24"/>
          <w:szCs w:val="24"/>
        </w:rPr>
        <w:t xml:space="preserve">A beruházással érintett területek az alábbiak: </w:t>
      </w:r>
    </w:p>
    <w:p w14:paraId="5127FEF7" w14:textId="7D97A160" w:rsidR="005E4461" w:rsidRPr="008779AD" w:rsidRDefault="005E4461" w:rsidP="008779AD">
      <w:pPr>
        <w:pStyle w:val="Listaszerbekezds"/>
        <w:numPr>
          <w:ilvl w:val="0"/>
          <w:numId w:val="15"/>
        </w:numPr>
        <w:jc w:val="both"/>
        <w:rPr>
          <w:rFonts w:ascii="Times New Roman" w:eastAsia="Calibri" w:hAnsi="Times New Roman"/>
          <w:sz w:val="24"/>
          <w:szCs w:val="24"/>
        </w:rPr>
      </w:pPr>
      <w:r w:rsidRPr="008779AD">
        <w:rPr>
          <w:rFonts w:ascii="Times New Roman" w:eastAsia="Calibri" w:hAnsi="Times New Roman"/>
          <w:sz w:val="24"/>
          <w:szCs w:val="24"/>
        </w:rPr>
        <w:t>sz. tervezési terület: Ladányi út térsége, Cigány gödör, 2. sz. tervezési terület: Benedek Pál utca, 3. sz. tervezési terület: Szerelmi pincesor, 4. sz. tervezési terület: Csalogány utca, 5. sz. tervezési terület: Dienes utca</w:t>
      </w:r>
    </w:p>
    <w:p w14:paraId="4D9F9157" w14:textId="77777777" w:rsidR="008779AD" w:rsidRPr="008779AD" w:rsidRDefault="008779AD" w:rsidP="008779AD">
      <w:pPr>
        <w:pStyle w:val="Listaszerbekezds"/>
        <w:numPr>
          <w:ilvl w:val="0"/>
          <w:numId w:val="15"/>
        </w:numPr>
        <w:jc w:val="both"/>
        <w:rPr>
          <w:rFonts w:ascii="Times New Roman" w:eastAsia="Calibri" w:hAnsi="Times New Roman"/>
          <w:sz w:val="24"/>
          <w:szCs w:val="24"/>
        </w:rPr>
      </w:pPr>
    </w:p>
    <w:p w14:paraId="19B9CF11" w14:textId="77777777" w:rsidR="008779AD" w:rsidRDefault="005E4461" w:rsidP="005E4461">
      <w:pPr>
        <w:jc w:val="both"/>
        <w:rPr>
          <w:rFonts w:ascii="Times New Roman" w:hAnsi="Times New Roman"/>
          <w:bCs/>
          <w:sz w:val="24"/>
          <w:szCs w:val="24"/>
        </w:rPr>
      </w:pPr>
      <w:r w:rsidRPr="005E4461">
        <w:rPr>
          <w:rFonts w:ascii="Times New Roman" w:hAnsi="Times New Roman"/>
          <w:bCs/>
          <w:sz w:val="24"/>
          <w:szCs w:val="24"/>
        </w:rPr>
        <w:t xml:space="preserve">A projekt teljes költsége 147.764.530 Ft, a támogatási intenzitás 100 %. </w:t>
      </w:r>
    </w:p>
    <w:p w14:paraId="08525938" w14:textId="77777777" w:rsidR="008779AD" w:rsidRDefault="008779AD" w:rsidP="005E4461">
      <w:pPr>
        <w:jc w:val="both"/>
        <w:rPr>
          <w:rFonts w:ascii="Times New Roman" w:hAnsi="Times New Roman"/>
          <w:bCs/>
          <w:sz w:val="24"/>
          <w:szCs w:val="24"/>
        </w:rPr>
      </w:pPr>
    </w:p>
    <w:p w14:paraId="066D20F3" w14:textId="08498A7C" w:rsidR="005E4461" w:rsidRDefault="005E4461" w:rsidP="005E4461">
      <w:pPr>
        <w:jc w:val="both"/>
        <w:rPr>
          <w:rFonts w:ascii="Times New Roman" w:hAnsi="Times New Roman"/>
          <w:bCs/>
          <w:sz w:val="24"/>
          <w:szCs w:val="24"/>
        </w:rPr>
      </w:pPr>
      <w:r w:rsidRPr="005E4461">
        <w:rPr>
          <w:rFonts w:ascii="Times New Roman" w:hAnsi="Times New Roman"/>
          <w:bCs/>
          <w:sz w:val="24"/>
          <w:szCs w:val="24"/>
        </w:rPr>
        <w:t>A tervezett befejezési határidő 2019.12.31.</w:t>
      </w:r>
    </w:p>
    <w:p w14:paraId="165E3263" w14:textId="606E48A8" w:rsidR="00574273" w:rsidRDefault="00574273" w:rsidP="005E4461">
      <w:pPr>
        <w:jc w:val="both"/>
        <w:rPr>
          <w:rFonts w:ascii="Times New Roman" w:hAnsi="Times New Roman"/>
          <w:bCs/>
          <w:sz w:val="24"/>
          <w:szCs w:val="24"/>
        </w:rPr>
      </w:pPr>
    </w:p>
    <w:p w14:paraId="01E63F35" w14:textId="758E70C1" w:rsidR="00574273" w:rsidRPr="005E4461" w:rsidRDefault="00574273" w:rsidP="005E4461">
      <w:pPr>
        <w:jc w:val="both"/>
        <w:rPr>
          <w:rFonts w:ascii="Times New Roman" w:hAnsi="Times New Roman"/>
          <w:bCs/>
          <w:sz w:val="24"/>
          <w:szCs w:val="24"/>
        </w:rPr>
      </w:pPr>
      <w:r w:rsidRPr="00574273">
        <w:drawing>
          <wp:inline distT="0" distB="0" distL="0" distR="0" wp14:anchorId="216F561A" wp14:editId="79C9DF26">
            <wp:extent cx="6810375" cy="464185"/>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0375" cy="464185"/>
                    </a:xfrm>
                    <a:prstGeom prst="rect">
                      <a:avLst/>
                    </a:prstGeom>
                    <a:noFill/>
                    <a:ln>
                      <a:noFill/>
                    </a:ln>
                  </pic:spPr>
                </pic:pic>
              </a:graphicData>
            </a:graphic>
          </wp:inline>
        </w:drawing>
      </w:r>
    </w:p>
    <w:p w14:paraId="36D0CA4C" w14:textId="60B56E7E" w:rsidR="008779AD" w:rsidRDefault="008779AD">
      <w:pPr>
        <w:spacing w:after="160" w:line="259" w:lineRule="auto"/>
        <w:rPr>
          <w:rFonts w:ascii="Times New Roman" w:hAnsi="Times New Roman"/>
          <w:sz w:val="24"/>
          <w:szCs w:val="24"/>
        </w:rPr>
      </w:pPr>
      <w:r>
        <w:rPr>
          <w:rFonts w:ascii="Times New Roman" w:hAnsi="Times New Roman"/>
          <w:sz w:val="24"/>
          <w:szCs w:val="24"/>
        </w:rPr>
        <w:br w:type="page"/>
      </w:r>
    </w:p>
    <w:p w14:paraId="6243378F" w14:textId="77777777" w:rsidR="00E53EDF" w:rsidRPr="005E4461" w:rsidRDefault="00E53EDF" w:rsidP="005E4461">
      <w:pPr>
        <w:jc w:val="both"/>
        <w:rPr>
          <w:rFonts w:ascii="Times New Roman" w:hAnsi="Times New Roman"/>
          <w:b/>
          <w:noProof/>
          <w:sz w:val="24"/>
          <w:szCs w:val="24"/>
          <w:u w:val="single"/>
        </w:rPr>
      </w:pPr>
      <w:r w:rsidRPr="005E4461">
        <w:rPr>
          <w:rFonts w:ascii="Times New Roman" w:hAnsi="Times New Roman"/>
          <w:b/>
          <w:noProof/>
          <w:sz w:val="24"/>
          <w:szCs w:val="24"/>
          <w:u w:val="single"/>
        </w:rPr>
        <w:lastRenderedPageBreak/>
        <w:t>TOP-1.4.1-16-BO1-2017-00014 – Bölcsőde kialakítása Tokajban</w:t>
      </w:r>
    </w:p>
    <w:p w14:paraId="2CAB4BA1" w14:textId="77777777" w:rsidR="00432DE2" w:rsidRDefault="00432DE2" w:rsidP="005E4461">
      <w:pPr>
        <w:autoSpaceDE w:val="0"/>
        <w:autoSpaceDN w:val="0"/>
        <w:adjustRightInd w:val="0"/>
        <w:jc w:val="both"/>
        <w:rPr>
          <w:rFonts w:ascii="Times New Roman" w:hAnsi="Times New Roman"/>
          <w:sz w:val="24"/>
          <w:szCs w:val="24"/>
        </w:rPr>
      </w:pPr>
    </w:p>
    <w:p w14:paraId="47B76734" w14:textId="2F7167E3" w:rsidR="00E53EDF" w:rsidRPr="005E4461" w:rsidRDefault="00E53EDF" w:rsidP="005E4461">
      <w:pPr>
        <w:autoSpaceDE w:val="0"/>
        <w:autoSpaceDN w:val="0"/>
        <w:adjustRightInd w:val="0"/>
        <w:jc w:val="both"/>
        <w:rPr>
          <w:rFonts w:ascii="Times New Roman" w:hAnsi="Times New Roman"/>
          <w:sz w:val="24"/>
          <w:szCs w:val="24"/>
        </w:rPr>
      </w:pPr>
      <w:r w:rsidRPr="005E4461">
        <w:rPr>
          <w:rFonts w:ascii="Times New Roman" w:hAnsi="Times New Roman"/>
          <w:sz w:val="24"/>
          <w:szCs w:val="24"/>
        </w:rPr>
        <w:t>Az új bölcsőde (Tokaj, Gróf Apponyi Albert út 12.) 1 csoportos (12 fő/ csoport), de időszakos gyermekcsoport és játszócsoport funkcióval kiegészített lesz. Aberuházás során az építésen túl a bölcsőde teljes eszközparkja és udvarának játszótere.</w:t>
      </w:r>
    </w:p>
    <w:p w14:paraId="61FF1233" w14:textId="77777777" w:rsidR="00E53EDF" w:rsidRPr="005E4461" w:rsidRDefault="00E53EDF" w:rsidP="005E4461">
      <w:pPr>
        <w:suppressAutoHyphens/>
        <w:overflowPunct w:val="0"/>
        <w:autoSpaceDE w:val="0"/>
        <w:jc w:val="both"/>
        <w:textAlignment w:val="baseline"/>
        <w:rPr>
          <w:rFonts w:ascii="Times New Roman" w:eastAsia="Times New Roman" w:hAnsi="Times New Roman"/>
          <w:sz w:val="24"/>
          <w:szCs w:val="24"/>
          <w:lang w:eastAsia="ar-SA"/>
        </w:rPr>
      </w:pPr>
      <w:r w:rsidRPr="005E4461">
        <w:rPr>
          <w:rFonts w:ascii="Times New Roman" w:hAnsi="Times New Roman"/>
          <w:bCs/>
          <w:sz w:val="24"/>
          <w:szCs w:val="24"/>
        </w:rPr>
        <w:t>Belső fűtött és fűtetlen terek földszint+emelet alapterülete összesen 318,25 m2.</w:t>
      </w:r>
    </w:p>
    <w:p w14:paraId="49916F66" w14:textId="77777777" w:rsidR="008779AD" w:rsidRDefault="008779AD" w:rsidP="005E4461">
      <w:pPr>
        <w:jc w:val="both"/>
        <w:rPr>
          <w:rFonts w:ascii="Times New Roman" w:hAnsi="Times New Roman"/>
          <w:bCs/>
          <w:sz w:val="24"/>
          <w:szCs w:val="24"/>
        </w:rPr>
      </w:pPr>
    </w:p>
    <w:p w14:paraId="16964CD9" w14:textId="77777777" w:rsidR="008779AD" w:rsidRDefault="00E53EDF" w:rsidP="005E4461">
      <w:pPr>
        <w:jc w:val="both"/>
        <w:rPr>
          <w:rFonts w:ascii="Times New Roman" w:hAnsi="Times New Roman"/>
          <w:bCs/>
          <w:sz w:val="24"/>
          <w:szCs w:val="24"/>
        </w:rPr>
      </w:pPr>
      <w:r w:rsidRPr="005E4461">
        <w:rPr>
          <w:rFonts w:ascii="Times New Roman" w:hAnsi="Times New Roman"/>
          <w:bCs/>
          <w:sz w:val="24"/>
          <w:szCs w:val="24"/>
        </w:rPr>
        <w:t xml:space="preserve">A projekt teljes költsége 171.648.193 Ft, a támogatási intenzitás 100 %. </w:t>
      </w:r>
    </w:p>
    <w:p w14:paraId="1630352B" w14:textId="77777777" w:rsidR="008779AD" w:rsidRDefault="008779AD" w:rsidP="005E4461">
      <w:pPr>
        <w:jc w:val="both"/>
        <w:rPr>
          <w:rFonts w:ascii="Times New Roman" w:hAnsi="Times New Roman"/>
          <w:bCs/>
          <w:sz w:val="24"/>
          <w:szCs w:val="24"/>
        </w:rPr>
      </w:pPr>
    </w:p>
    <w:p w14:paraId="116A2657" w14:textId="1F0ECF37" w:rsidR="00E53EDF" w:rsidRPr="005E4461" w:rsidRDefault="00E53EDF" w:rsidP="005E4461">
      <w:pPr>
        <w:jc w:val="both"/>
        <w:rPr>
          <w:rFonts w:ascii="Times New Roman" w:hAnsi="Times New Roman"/>
          <w:bCs/>
          <w:sz w:val="24"/>
          <w:szCs w:val="24"/>
        </w:rPr>
      </w:pPr>
      <w:r w:rsidRPr="005E4461">
        <w:rPr>
          <w:rFonts w:ascii="Times New Roman" w:hAnsi="Times New Roman"/>
          <w:bCs/>
          <w:sz w:val="24"/>
          <w:szCs w:val="24"/>
        </w:rPr>
        <w:t>A tervezett befejezési határidő 2020.07.31.</w:t>
      </w:r>
    </w:p>
    <w:p w14:paraId="173F5715" w14:textId="24179181" w:rsidR="00E53EDF" w:rsidRDefault="00E53EDF" w:rsidP="005E4461">
      <w:pPr>
        <w:jc w:val="both"/>
        <w:rPr>
          <w:rFonts w:ascii="Times New Roman" w:hAnsi="Times New Roman"/>
          <w:bCs/>
          <w:sz w:val="24"/>
          <w:szCs w:val="24"/>
        </w:rPr>
      </w:pPr>
    </w:p>
    <w:p w14:paraId="3735D110" w14:textId="001F2E6D" w:rsidR="005969D0" w:rsidRDefault="005969D0" w:rsidP="005E4461">
      <w:pPr>
        <w:jc w:val="both"/>
        <w:rPr>
          <w:rFonts w:ascii="Times New Roman" w:hAnsi="Times New Roman"/>
          <w:bCs/>
          <w:sz w:val="24"/>
          <w:szCs w:val="24"/>
        </w:rPr>
      </w:pPr>
      <w:r w:rsidRPr="005969D0">
        <w:drawing>
          <wp:inline distT="0" distB="0" distL="0" distR="0" wp14:anchorId="44192E45" wp14:editId="1F68FD94">
            <wp:extent cx="6934200" cy="46418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464185"/>
                    </a:xfrm>
                    <a:prstGeom prst="rect">
                      <a:avLst/>
                    </a:prstGeom>
                    <a:noFill/>
                    <a:ln>
                      <a:noFill/>
                    </a:ln>
                  </pic:spPr>
                </pic:pic>
              </a:graphicData>
            </a:graphic>
          </wp:inline>
        </w:drawing>
      </w:r>
    </w:p>
    <w:p w14:paraId="3A359C23" w14:textId="77777777" w:rsidR="008779AD" w:rsidRDefault="008779AD" w:rsidP="005E4461">
      <w:pPr>
        <w:rPr>
          <w:rFonts w:ascii="Times New Roman" w:hAnsi="Times New Roman"/>
          <w:b/>
          <w:bCs/>
          <w:sz w:val="24"/>
          <w:szCs w:val="24"/>
          <w:u w:val="single"/>
        </w:rPr>
      </w:pPr>
    </w:p>
    <w:p w14:paraId="73FC7A3F" w14:textId="2024AE0B" w:rsidR="00E53EDF" w:rsidRPr="005E4461" w:rsidRDefault="00E53EDF" w:rsidP="005E4461">
      <w:pPr>
        <w:rPr>
          <w:rFonts w:ascii="Times New Roman" w:hAnsi="Times New Roman"/>
          <w:b/>
          <w:bCs/>
          <w:sz w:val="24"/>
          <w:szCs w:val="24"/>
          <w:u w:val="single"/>
        </w:rPr>
      </w:pPr>
      <w:r w:rsidRPr="005E4461">
        <w:rPr>
          <w:rFonts w:ascii="Times New Roman" w:hAnsi="Times New Roman"/>
          <w:b/>
          <w:bCs/>
          <w:sz w:val="24"/>
          <w:szCs w:val="24"/>
          <w:u w:val="single"/>
        </w:rPr>
        <w:t>TOP-2.1.2-15-BO1-2018-00025 – Zöld Város kialakítása Tokajban</w:t>
      </w:r>
    </w:p>
    <w:p w14:paraId="6F2883B9" w14:textId="77777777" w:rsidR="00432DE2" w:rsidRDefault="00432DE2" w:rsidP="005E4461">
      <w:pPr>
        <w:autoSpaceDE w:val="0"/>
        <w:autoSpaceDN w:val="0"/>
        <w:adjustRightInd w:val="0"/>
        <w:jc w:val="both"/>
        <w:rPr>
          <w:rFonts w:ascii="Times New Roman" w:hAnsi="Times New Roman"/>
          <w:color w:val="000000"/>
          <w:sz w:val="24"/>
          <w:szCs w:val="24"/>
        </w:rPr>
      </w:pPr>
    </w:p>
    <w:p w14:paraId="37EAB6E0" w14:textId="42812300" w:rsidR="00E53EDF" w:rsidRPr="005E4461" w:rsidRDefault="00E53EDF" w:rsidP="005E4461">
      <w:p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A projekt során 9 projekt helyszínen valósul meg fejlesztés:</w:t>
      </w:r>
    </w:p>
    <w:p w14:paraId="4276901C"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 xml:space="preserve">1. Hősök tere térségének (Finánc domb) rekonstrukciója, Játszótér kialakítása a finánc dombon </w:t>
      </w:r>
    </w:p>
    <w:p w14:paraId="598348C1"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 xml:space="preserve">2. Kertvárosi pihenőpark kialakítása </w:t>
      </w:r>
    </w:p>
    <w:p w14:paraId="1C8AF200"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3. Az öregek napközi otthona kertjének felújítása és parkolók kialakítása</w:t>
      </w:r>
    </w:p>
    <w:p w14:paraId="1972B455"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 xml:space="preserve">4. Lakótelepi játszótér kialakítása </w:t>
      </w:r>
    </w:p>
    <w:p w14:paraId="607CDB8C"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 xml:space="preserve">5. Városháza udvarának parkosítása </w:t>
      </w:r>
    </w:p>
    <w:p w14:paraId="30FF6C51"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 xml:space="preserve">6. Litván szoborpark és környéke rekonstrukció </w:t>
      </w:r>
    </w:p>
    <w:p w14:paraId="51EB2CD3"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 xml:space="preserve">7. Temetőnél közpark és parkoló kialakítása </w:t>
      </w:r>
    </w:p>
    <w:p w14:paraId="46238CD8"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 xml:space="preserve">8. Tenkács ház és kert rekonstrukció </w:t>
      </w:r>
    </w:p>
    <w:p w14:paraId="5CDF0D6A" w14:textId="77777777" w:rsidR="00E53EDF" w:rsidRPr="005E4461" w:rsidRDefault="00E53EDF" w:rsidP="005E4461">
      <w:pPr>
        <w:autoSpaceDE w:val="0"/>
        <w:autoSpaceDN w:val="0"/>
        <w:adjustRightInd w:val="0"/>
        <w:ind w:left="284"/>
        <w:jc w:val="both"/>
        <w:rPr>
          <w:rFonts w:ascii="Times New Roman" w:hAnsi="Times New Roman"/>
          <w:color w:val="000000"/>
          <w:sz w:val="24"/>
          <w:szCs w:val="24"/>
        </w:rPr>
      </w:pPr>
      <w:r w:rsidRPr="005E4461">
        <w:rPr>
          <w:rFonts w:ascii="Times New Roman" w:hAnsi="Times New Roman"/>
          <w:color w:val="000000"/>
          <w:sz w:val="24"/>
          <w:szCs w:val="24"/>
        </w:rPr>
        <w:t xml:space="preserve">9. Országzászló melletti tér és parkoló kialakítása </w:t>
      </w:r>
    </w:p>
    <w:p w14:paraId="70E39DE3" w14:textId="77777777" w:rsidR="00432DE2" w:rsidRDefault="00432DE2" w:rsidP="005E4461">
      <w:pPr>
        <w:jc w:val="both"/>
        <w:rPr>
          <w:rFonts w:ascii="Times New Roman" w:hAnsi="Times New Roman"/>
          <w:bCs/>
          <w:sz w:val="24"/>
          <w:szCs w:val="24"/>
        </w:rPr>
      </w:pPr>
    </w:p>
    <w:p w14:paraId="68A0C110" w14:textId="77777777" w:rsidR="008779AD" w:rsidRDefault="00E53EDF" w:rsidP="005E4461">
      <w:pPr>
        <w:jc w:val="both"/>
        <w:rPr>
          <w:rFonts w:ascii="Times New Roman" w:hAnsi="Times New Roman"/>
          <w:bCs/>
          <w:sz w:val="24"/>
          <w:szCs w:val="24"/>
        </w:rPr>
      </w:pPr>
      <w:r w:rsidRPr="005E4461">
        <w:rPr>
          <w:rFonts w:ascii="Times New Roman" w:hAnsi="Times New Roman"/>
          <w:bCs/>
          <w:sz w:val="24"/>
          <w:szCs w:val="24"/>
        </w:rPr>
        <w:t>A projekt teljes költsége 487.865.050 Ft, a támogatási intenzitás 100 %.</w:t>
      </w:r>
    </w:p>
    <w:p w14:paraId="0930E827" w14:textId="77777777" w:rsidR="008779AD" w:rsidRDefault="008779AD" w:rsidP="005E4461">
      <w:pPr>
        <w:jc w:val="both"/>
        <w:rPr>
          <w:rFonts w:ascii="Times New Roman" w:hAnsi="Times New Roman"/>
          <w:bCs/>
          <w:sz w:val="24"/>
          <w:szCs w:val="24"/>
        </w:rPr>
      </w:pPr>
    </w:p>
    <w:p w14:paraId="74127844" w14:textId="7AD13DA9" w:rsidR="00E53EDF" w:rsidRPr="005E4461" w:rsidRDefault="00E53EDF" w:rsidP="005E4461">
      <w:pPr>
        <w:jc w:val="both"/>
        <w:rPr>
          <w:rFonts w:ascii="Times New Roman" w:hAnsi="Times New Roman"/>
          <w:bCs/>
          <w:sz w:val="24"/>
          <w:szCs w:val="24"/>
        </w:rPr>
      </w:pPr>
      <w:r w:rsidRPr="005E4461">
        <w:rPr>
          <w:rFonts w:ascii="Times New Roman" w:hAnsi="Times New Roman"/>
          <w:bCs/>
          <w:sz w:val="24"/>
          <w:szCs w:val="24"/>
        </w:rPr>
        <w:t>A tervezett befejezési határidő 2020.11.30.</w:t>
      </w:r>
    </w:p>
    <w:p w14:paraId="039CC3F7" w14:textId="48377DB8" w:rsidR="00E53EDF" w:rsidRDefault="00E53EDF" w:rsidP="005E4461">
      <w:pPr>
        <w:rPr>
          <w:rFonts w:ascii="Times New Roman" w:hAnsi="Times New Roman"/>
          <w:sz w:val="24"/>
          <w:szCs w:val="24"/>
        </w:rPr>
      </w:pPr>
    </w:p>
    <w:p w14:paraId="13DEE978" w14:textId="159CE73D" w:rsidR="00095EE3" w:rsidRDefault="00095EE3" w:rsidP="005E4461">
      <w:pPr>
        <w:rPr>
          <w:rFonts w:ascii="Times New Roman" w:hAnsi="Times New Roman"/>
          <w:sz w:val="24"/>
          <w:szCs w:val="24"/>
        </w:rPr>
      </w:pPr>
      <w:r w:rsidRPr="00095EE3">
        <w:drawing>
          <wp:inline distT="0" distB="0" distL="0" distR="0" wp14:anchorId="0D5C9E68" wp14:editId="05892621">
            <wp:extent cx="6943725" cy="431800"/>
            <wp:effectExtent l="0" t="0" r="9525" b="635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3725" cy="431800"/>
                    </a:xfrm>
                    <a:prstGeom prst="rect">
                      <a:avLst/>
                    </a:prstGeom>
                    <a:noFill/>
                    <a:ln>
                      <a:noFill/>
                    </a:ln>
                  </pic:spPr>
                </pic:pic>
              </a:graphicData>
            </a:graphic>
          </wp:inline>
        </w:drawing>
      </w:r>
    </w:p>
    <w:p w14:paraId="04BAB96A" w14:textId="77777777" w:rsidR="00095EE3" w:rsidRPr="005E4461" w:rsidRDefault="00095EE3" w:rsidP="005E4461">
      <w:pPr>
        <w:rPr>
          <w:rFonts w:ascii="Times New Roman" w:hAnsi="Times New Roman"/>
          <w:sz w:val="24"/>
          <w:szCs w:val="24"/>
        </w:rPr>
      </w:pPr>
    </w:p>
    <w:p w14:paraId="13CF9928" w14:textId="77777777" w:rsidR="00095EE3" w:rsidRDefault="00095EE3">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30168691" w14:textId="19D4CD2B" w:rsidR="00E53EDF" w:rsidRPr="005E4461" w:rsidRDefault="00E53EDF" w:rsidP="005E4461">
      <w:pPr>
        <w:rPr>
          <w:rFonts w:ascii="Times New Roman" w:hAnsi="Times New Roman"/>
          <w:b/>
          <w:bCs/>
          <w:sz w:val="24"/>
          <w:szCs w:val="24"/>
          <w:u w:val="single"/>
        </w:rPr>
      </w:pPr>
      <w:r w:rsidRPr="005E4461">
        <w:rPr>
          <w:rFonts w:ascii="Times New Roman" w:hAnsi="Times New Roman"/>
          <w:b/>
          <w:bCs/>
          <w:sz w:val="24"/>
          <w:szCs w:val="24"/>
          <w:u w:val="single"/>
        </w:rPr>
        <w:lastRenderedPageBreak/>
        <w:t>TOP-2.1.1-15-BO1-2018-00009 – Városi Szolgáltató Központ kialakítása</w:t>
      </w:r>
    </w:p>
    <w:p w14:paraId="476C4DED" w14:textId="77777777" w:rsidR="00432DE2" w:rsidRDefault="00432DE2" w:rsidP="005E4461">
      <w:pPr>
        <w:jc w:val="both"/>
        <w:rPr>
          <w:rFonts w:ascii="Times New Roman" w:hAnsi="Times New Roman"/>
          <w:color w:val="000000"/>
          <w:sz w:val="24"/>
          <w:szCs w:val="24"/>
        </w:rPr>
      </w:pPr>
    </w:p>
    <w:p w14:paraId="6B35261D" w14:textId="78CF2812" w:rsidR="00E53EDF" w:rsidRDefault="00E53EDF" w:rsidP="005E4461">
      <w:pPr>
        <w:jc w:val="both"/>
        <w:rPr>
          <w:rFonts w:ascii="Times New Roman" w:hAnsi="Times New Roman"/>
          <w:color w:val="000000"/>
          <w:sz w:val="24"/>
          <w:szCs w:val="24"/>
        </w:rPr>
      </w:pPr>
      <w:r w:rsidRPr="005E4461">
        <w:rPr>
          <w:rFonts w:ascii="Times New Roman" w:hAnsi="Times New Roman"/>
          <w:color w:val="000000"/>
          <w:sz w:val="24"/>
          <w:szCs w:val="24"/>
        </w:rPr>
        <w:t>A projekt során a Tokaj 13/2 helyrajzi számú ingatlan (Tokaji Városüzemeltető Szervezet épülete és a mellette található régi istálló épület) kerül felújításra. Tokaj város történelmi központjában, az Önkormányzat közvetlen szomszédságában egy olyan épület megvalósítása tervezett, amely méltó helye lehet a helyi feltörekvő vállalkozások irodáinak, ugyanakkor befogadhatja a város különböző ellátó irodáit is. A pályázat kiegészül az Óvár utca ezen épületrészhez tartozó burkolatának átépítésével. A meglévő töredezett aszfaltburkolat helyett kis- és nagy kockakő burkolat felületű utcarész alakul ki a háztól a meglévő támfalig cca. 235 m2 felületen.</w:t>
      </w:r>
    </w:p>
    <w:p w14:paraId="3E412696" w14:textId="77777777" w:rsidR="008779AD" w:rsidRPr="005E4461" w:rsidRDefault="008779AD" w:rsidP="005E4461">
      <w:pPr>
        <w:jc w:val="both"/>
        <w:rPr>
          <w:rFonts w:ascii="Times New Roman" w:hAnsi="Times New Roman"/>
          <w:color w:val="000000"/>
          <w:sz w:val="24"/>
          <w:szCs w:val="24"/>
        </w:rPr>
      </w:pPr>
    </w:p>
    <w:p w14:paraId="09346D36" w14:textId="77777777" w:rsidR="008779AD" w:rsidRDefault="00E53EDF" w:rsidP="005E4461">
      <w:pPr>
        <w:jc w:val="both"/>
        <w:rPr>
          <w:rFonts w:ascii="Times New Roman" w:hAnsi="Times New Roman"/>
          <w:bCs/>
          <w:sz w:val="24"/>
          <w:szCs w:val="24"/>
        </w:rPr>
      </w:pPr>
      <w:r w:rsidRPr="005E4461">
        <w:rPr>
          <w:rFonts w:ascii="Times New Roman" w:hAnsi="Times New Roman"/>
          <w:bCs/>
          <w:sz w:val="24"/>
          <w:szCs w:val="24"/>
        </w:rPr>
        <w:t xml:space="preserve">A projekt teljes költsége 526.353.273 Ft, a támogatási intenzitás 100 %. </w:t>
      </w:r>
    </w:p>
    <w:p w14:paraId="488E07F6" w14:textId="77777777" w:rsidR="008779AD" w:rsidRDefault="008779AD" w:rsidP="005E4461">
      <w:pPr>
        <w:jc w:val="both"/>
        <w:rPr>
          <w:rFonts w:ascii="Times New Roman" w:hAnsi="Times New Roman"/>
          <w:bCs/>
          <w:sz w:val="24"/>
          <w:szCs w:val="24"/>
        </w:rPr>
      </w:pPr>
    </w:p>
    <w:p w14:paraId="710424A3" w14:textId="3B4E5E8D" w:rsidR="00E53EDF" w:rsidRPr="005E4461" w:rsidRDefault="00E53EDF" w:rsidP="005E4461">
      <w:pPr>
        <w:jc w:val="both"/>
        <w:rPr>
          <w:rFonts w:ascii="Times New Roman" w:hAnsi="Times New Roman"/>
          <w:bCs/>
          <w:sz w:val="24"/>
          <w:szCs w:val="24"/>
        </w:rPr>
      </w:pPr>
      <w:r w:rsidRPr="005E4461">
        <w:rPr>
          <w:rFonts w:ascii="Times New Roman" w:hAnsi="Times New Roman"/>
          <w:bCs/>
          <w:sz w:val="24"/>
          <w:szCs w:val="24"/>
        </w:rPr>
        <w:t>A tervezett befejezési határidő 2021.02.28.</w:t>
      </w:r>
    </w:p>
    <w:p w14:paraId="46FE7607" w14:textId="52747156" w:rsidR="00E53EDF" w:rsidRDefault="00E53EDF" w:rsidP="005E4461">
      <w:pPr>
        <w:jc w:val="both"/>
        <w:rPr>
          <w:rFonts w:ascii="Times New Roman" w:hAnsi="Times New Roman"/>
          <w:sz w:val="24"/>
          <w:szCs w:val="24"/>
        </w:rPr>
      </w:pPr>
    </w:p>
    <w:p w14:paraId="582CCB5B" w14:textId="33DC8F19" w:rsidR="008779AD" w:rsidRDefault="008779AD" w:rsidP="005E4461">
      <w:pPr>
        <w:jc w:val="both"/>
        <w:rPr>
          <w:rFonts w:ascii="Times New Roman" w:hAnsi="Times New Roman"/>
          <w:sz w:val="24"/>
          <w:szCs w:val="24"/>
        </w:rPr>
      </w:pPr>
      <w:r w:rsidRPr="008779AD">
        <w:drawing>
          <wp:inline distT="0" distB="0" distL="0" distR="0" wp14:anchorId="4FA2EDC7" wp14:editId="1B63E18A">
            <wp:extent cx="6915150" cy="431800"/>
            <wp:effectExtent l="0" t="0" r="0" b="635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0" cy="431800"/>
                    </a:xfrm>
                    <a:prstGeom prst="rect">
                      <a:avLst/>
                    </a:prstGeom>
                    <a:noFill/>
                    <a:ln>
                      <a:noFill/>
                    </a:ln>
                  </pic:spPr>
                </pic:pic>
              </a:graphicData>
            </a:graphic>
          </wp:inline>
        </w:drawing>
      </w:r>
    </w:p>
    <w:p w14:paraId="2388C081" w14:textId="77777777" w:rsidR="008779AD" w:rsidRPr="005E4461" w:rsidRDefault="008779AD" w:rsidP="005E4461">
      <w:pPr>
        <w:jc w:val="both"/>
        <w:rPr>
          <w:rFonts w:ascii="Times New Roman" w:hAnsi="Times New Roman"/>
          <w:sz w:val="24"/>
          <w:szCs w:val="24"/>
        </w:rPr>
      </w:pPr>
    </w:p>
    <w:p w14:paraId="2B02CB47" w14:textId="77777777" w:rsidR="00E53EDF" w:rsidRPr="005E4461" w:rsidRDefault="00E53EDF" w:rsidP="005E4461">
      <w:pPr>
        <w:rPr>
          <w:rFonts w:ascii="Times New Roman" w:hAnsi="Times New Roman"/>
          <w:b/>
          <w:bCs/>
          <w:sz w:val="24"/>
          <w:szCs w:val="24"/>
          <w:u w:val="single"/>
        </w:rPr>
      </w:pPr>
      <w:r w:rsidRPr="005E4461">
        <w:rPr>
          <w:rFonts w:ascii="Times New Roman" w:hAnsi="Times New Roman"/>
          <w:b/>
          <w:bCs/>
          <w:sz w:val="24"/>
          <w:szCs w:val="24"/>
          <w:u w:val="single"/>
        </w:rPr>
        <w:t>TOP-3.2.1-16-BO1-2018-00084 - Tokaj Város Idősek Otthonának és Óvodájának energetikai fejlesztése</w:t>
      </w:r>
    </w:p>
    <w:p w14:paraId="253D2961" w14:textId="2040700E" w:rsidR="00E53EDF" w:rsidRDefault="00E53EDF" w:rsidP="005E4461">
      <w:pPr>
        <w:jc w:val="both"/>
        <w:rPr>
          <w:rFonts w:ascii="Times New Roman" w:hAnsi="Times New Roman"/>
          <w:sz w:val="24"/>
          <w:szCs w:val="24"/>
        </w:rPr>
      </w:pPr>
      <w:r w:rsidRPr="005E4461">
        <w:rPr>
          <w:rFonts w:ascii="Times New Roman" w:hAnsi="Times New Roman"/>
          <w:sz w:val="24"/>
          <w:szCs w:val="24"/>
        </w:rPr>
        <w:t>Idősek otthona: A meglévő épület energetikai minőség szerinti besorolása: GG. Az épület új homlokzati szigetelést kap, komplett rendszerben kapcsolódó segédanyagokkal, nemes vakolattal. Korszerűsítés során a régi kazán helyett, energiatakarékos, kondenzációs gázkazán kerül beépítésre, mely időjárásfüggő fűtővizet állít elő. A fűtési rendszer szükség szerint felújításra kerül, a rossz minőségű radiátorok és szerelvények helyett újak kerülnek beépítésre, a hőleadókat termosztatikus radiátorszeleppel látják el. A fűtési rendszerben szabályozó körök, fordulatszám szabályozós keringtető szivattyúk, szűrő-iszapleválasztó és mikrobuborék leválasztó szerelvények kerülnek beépítésre. Az elavult nyílászárókat műanyag, fehér színű, 5 légkamrás ablakra (min. 4-16-4 mm rétegrendű hőszigetelő üvegezéssel, hőhídmentes horganyzott acélbetét merevítésű PVC tok- és szárnyszerkezettel, rejtett vasalattal, falszerkezetbe beépítve), és fehér színű, bejárati ajtóra (műanyagból, min. négy légkamrás, idomacél merevítéssel, 4-16-4 mm réteg felépítésű hőszigetelt üveggel, tömítő gumival, alacsony küszöbbel, vízvezetővel, fehér színben, falszerkezetbe beépítve) cserélik le. Az épület tetejére fotovoltalikus napelem rendszer kerül letelepítésre. Akadálymentes parkoló, rámpa és akadálymenetes mosdó kialakítása is a költségvetés részét képezi. (építészeti, elektromossági és gépészeti elemekkel) Akadálymentes eszközök telepítése: vezetősáv, breille írásos táblák, indukciós hurok kiépítése, elhelyezése. A fenti korszerűsítések következtében az épület energetikai minőség szerinti besorolása: BB besorolásra javul. Tokaji Óvoda (3910 Tokaj Gróf Apponyi Albert út 13. Hrsz: 906): A meglévő épület energetikai minőség szerinti besorolása: DD. Az épület tetejére fotovoltalikus napelem rendszer kerül letelepítésre. A fenti korszerűsítések következtében az épület energetikai minőség szerinti besorolása: CC besorolásra javul.</w:t>
      </w:r>
    </w:p>
    <w:p w14:paraId="63179942" w14:textId="77777777" w:rsidR="008779AD" w:rsidRPr="005E4461" w:rsidRDefault="008779AD" w:rsidP="005E4461">
      <w:pPr>
        <w:jc w:val="both"/>
        <w:rPr>
          <w:rFonts w:ascii="Times New Roman" w:hAnsi="Times New Roman"/>
          <w:sz w:val="24"/>
          <w:szCs w:val="24"/>
        </w:rPr>
      </w:pPr>
    </w:p>
    <w:p w14:paraId="366925C3" w14:textId="77777777" w:rsidR="00E53EDF" w:rsidRPr="005E4461" w:rsidRDefault="00E53EDF" w:rsidP="005E4461">
      <w:pPr>
        <w:jc w:val="both"/>
        <w:rPr>
          <w:rFonts w:ascii="Times New Roman" w:hAnsi="Times New Roman"/>
          <w:bCs/>
          <w:sz w:val="24"/>
          <w:szCs w:val="24"/>
        </w:rPr>
      </w:pPr>
      <w:r w:rsidRPr="005E4461">
        <w:rPr>
          <w:rFonts w:ascii="Times New Roman" w:hAnsi="Times New Roman"/>
          <w:bCs/>
          <w:sz w:val="24"/>
          <w:szCs w:val="24"/>
        </w:rPr>
        <w:t>A projekt teljes költsége 390.600.501 Ft, a támogatási intenzitás 100 %. A tervezett befejezési határidő 2020.10.31.</w:t>
      </w:r>
    </w:p>
    <w:p w14:paraId="7ADA742A" w14:textId="20F66ACB" w:rsidR="00E53EDF" w:rsidRDefault="00E53EDF" w:rsidP="005E4461">
      <w:pPr>
        <w:rPr>
          <w:rFonts w:ascii="Times New Roman" w:hAnsi="Times New Roman"/>
          <w:sz w:val="24"/>
          <w:szCs w:val="24"/>
        </w:rPr>
      </w:pPr>
    </w:p>
    <w:p w14:paraId="286BC497" w14:textId="257177F3" w:rsidR="00432DE2" w:rsidRDefault="008779AD" w:rsidP="005E4461">
      <w:pPr>
        <w:rPr>
          <w:rFonts w:ascii="Times New Roman" w:hAnsi="Times New Roman"/>
          <w:sz w:val="24"/>
          <w:szCs w:val="24"/>
        </w:rPr>
      </w:pPr>
      <w:r w:rsidRPr="008779AD">
        <w:drawing>
          <wp:inline distT="0" distB="0" distL="0" distR="0" wp14:anchorId="45481771" wp14:editId="1F1C6AF8">
            <wp:extent cx="7010400" cy="431800"/>
            <wp:effectExtent l="0" t="0" r="0" b="635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0" cy="431800"/>
                    </a:xfrm>
                    <a:prstGeom prst="rect">
                      <a:avLst/>
                    </a:prstGeom>
                    <a:noFill/>
                    <a:ln>
                      <a:noFill/>
                    </a:ln>
                  </pic:spPr>
                </pic:pic>
              </a:graphicData>
            </a:graphic>
          </wp:inline>
        </w:drawing>
      </w:r>
    </w:p>
    <w:p w14:paraId="40B77405" w14:textId="77777777" w:rsidR="00432DE2" w:rsidRPr="005E4461" w:rsidRDefault="00432DE2" w:rsidP="005E4461">
      <w:pPr>
        <w:rPr>
          <w:rFonts w:ascii="Times New Roman" w:hAnsi="Times New Roman"/>
          <w:sz w:val="24"/>
          <w:szCs w:val="24"/>
        </w:rPr>
      </w:pPr>
    </w:p>
    <w:p w14:paraId="29A776A8" w14:textId="77777777" w:rsidR="00E53EDF" w:rsidRPr="005E4461" w:rsidRDefault="00E53EDF" w:rsidP="005E4461">
      <w:pPr>
        <w:jc w:val="both"/>
        <w:rPr>
          <w:rFonts w:ascii="Times New Roman" w:hAnsi="Times New Roman"/>
          <w:b/>
          <w:bCs/>
          <w:sz w:val="24"/>
          <w:szCs w:val="24"/>
          <w:u w:val="single"/>
        </w:rPr>
      </w:pPr>
      <w:r w:rsidRPr="005E4461">
        <w:rPr>
          <w:rFonts w:ascii="Times New Roman" w:hAnsi="Times New Roman"/>
          <w:b/>
          <w:bCs/>
          <w:sz w:val="24"/>
          <w:szCs w:val="24"/>
          <w:u w:val="single"/>
        </w:rPr>
        <w:lastRenderedPageBreak/>
        <w:t>TOP-3.1.1-15-BO1-2016-00028 - Kerékpárút hálózat kialakítása a Hegyalján csatlakozva Tokaj- Nyíregyháza kerékpárúthoz</w:t>
      </w:r>
    </w:p>
    <w:p w14:paraId="423DF366" w14:textId="77777777" w:rsidR="00432DE2" w:rsidRDefault="00432DE2" w:rsidP="005E4461">
      <w:pPr>
        <w:pStyle w:val="Default"/>
        <w:jc w:val="both"/>
        <w:rPr>
          <w:rFonts w:ascii="Times New Roman" w:hAnsi="Times New Roman" w:cs="Times New Roman"/>
        </w:rPr>
      </w:pPr>
    </w:p>
    <w:p w14:paraId="06AD1644" w14:textId="78D9E5E6" w:rsidR="00E53EDF" w:rsidRDefault="00E53EDF" w:rsidP="005E4461">
      <w:pPr>
        <w:pStyle w:val="Default"/>
        <w:jc w:val="both"/>
        <w:rPr>
          <w:rFonts w:ascii="Times New Roman" w:hAnsi="Times New Roman" w:cs="Times New Roman"/>
        </w:rPr>
      </w:pPr>
      <w:r w:rsidRPr="005E4461">
        <w:rPr>
          <w:rFonts w:ascii="Times New Roman" w:hAnsi="Times New Roman" w:cs="Times New Roman"/>
        </w:rPr>
        <w:t xml:space="preserve">A projekt szakmai-műszaki tartalma a választott önállóan támogatható és önállóan nem támogatható tevékenységek körének a bemutatásával együtt Tokaj-Bodrogkeresztúr. Az előbbiekre tekintettel terveztünk a tokaji belvárosban a Tisza híd előtti körforgalom 3838.j. út felőli ágától indulva a Rákóczi és Bethlen utcákon kerékpáros nyom kijelölését mindkét forgalmi sávban, valamint a 3838.j. úton a szelvényezés szerinti baloldalon, majd a jobboldalon a gyalogos és kerékpáros forgalom kiszolgálására a közúti forgalomtól elválasztott, 2,75m használati szélességű, elválasztás nélküli gyalog-kerékpárutat. Tokaj külterületén Bodrogkeresztúr közigazgatási határáig pedig ismét a baloldalon terveztünk a közút koronájának bővítésével 2,00 m használati szélességű kerékpárutat a Bodrog árterének, illetve egy szakaszon a medrének felhasználásával. Majd Bodrogkeresztúr belterületén a Petőfi u. felhasználásával terveztük összekötni a 3616.j. úttal. A tervezett nyomvonal több rossz állapotban lévő és kis szélességű kerékpáros hidat és átereszt érint. Tokaj – Tarcal között - Tarcal és Tokaj között külterületen a közút bal oldalán részben az árok külső oldalán vezetett, részben a mezőgazdasági utak nyomvonalát felhasználva önálló nyomvonalon levő nyomvonalon 2x1 forgalmi sávos kerékpárút épül. Hossza 3657,24 méter. </w:t>
      </w:r>
    </w:p>
    <w:p w14:paraId="5A55A11D" w14:textId="77777777" w:rsidR="00432DE2" w:rsidRPr="005E4461" w:rsidRDefault="00432DE2" w:rsidP="005E4461">
      <w:pPr>
        <w:pStyle w:val="Default"/>
        <w:jc w:val="both"/>
        <w:rPr>
          <w:rFonts w:ascii="Times New Roman" w:hAnsi="Times New Roman" w:cs="Times New Roman"/>
        </w:rPr>
      </w:pPr>
    </w:p>
    <w:p w14:paraId="393BDBBC" w14:textId="77777777" w:rsidR="00E53EDF" w:rsidRPr="005E4461" w:rsidRDefault="00E53EDF" w:rsidP="005E4461">
      <w:pPr>
        <w:pStyle w:val="Default"/>
        <w:jc w:val="both"/>
        <w:rPr>
          <w:rFonts w:ascii="Times New Roman" w:hAnsi="Times New Roman" w:cs="Times New Roman"/>
        </w:rPr>
      </w:pPr>
      <w:r w:rsidRPr="005E4461">
        <w:rPr>
          <w:rFonts w:ascii="Times New Roman" w:hAnsi="Times New Roman" w:cs="Times New Roman"/>
        </w:rPr>
        <w:t xml:space="preserve">Az állami közutat érintő átvezetéseknél „living road” csúszásgátló burkolatot szükséges kialakítani a közút burkolatán, mely figyelemfelhívó és fékút csökkentő tulajdonsággal rendelkezik. </w:t>
      </w:r>
    </w:p>
    <w:p w14:paraId="2E335FB8" w14:textId="77777777" w:rsidR="00432DE2" w:rsidRDefault="00432DE2" w:rsidP="005E4461">
      <w:pPr>
        <w:jc w:val="both"/>
        <w:rPr>
          <w:rFonts w:ascii="Times New Roman" w:hAnsi="Times New Roman"/>
          <w:sz w:val="24"/>
          <w:szCs w:val="24"/>
        </w:rPr>
      </w:pPr>
    </w:p>
    <w:p w14:paraId="48699B81" w14:textId="5DAF6E9D" w:rsidR="00E53EDF" w:rsidRPr="005E4461" w:rsidRDefault="00E53EDF" w:rsidP="005E4461">
      <w:pPr>
        <w:jc w:val="both"/>
        <w:rPr>
          <w:rFonts w:ascii="Times New Roman" w:hAnsi="Times New Roman"/>
          <w:sz w:val="24"/>
          <w:szCs w:val="24"/>
        </w:rPr>
      </w:pPr>
      <w:r w:rsidRPr="005E4461">
        <w:rPr>
          <w:rFonts w:ascii="Times New Roman" w:hAnsi="Times New Roman"/>
          <w:sz w:val="24"/>
          <w:szCs w:val="24"/>
        </w:rPr>
        <w:t>A létesítmények közötti átmenetet kijelölt kerékpáros átvezetés biztosítja. Bizonyos helyeken az átvezetéseknél „living road” csúszásgátló burkolatot szükséges kialakítani a közút burkolatán, mely figyelemfelhívó és fékút csökkentő tulajdonsággal rendelkezik.</w:t>
      </w:r>
    </w:p>
    <w:p w14:paraId="167F8666" w14:textId="77777777" w:rsidR="00E53EDF" w:rsidRPr="005E4461" w:rsidRDefault="00E53EDF" w:rsidP="005E4461">
      <w:pPr>
        <w:jc w:val="both"/>
        <w:rPr>
          <w:rFonts w:ascii="Times New Roman" w:hAnsi="Times New Roman"/>
          <w:bCs/>
          <w:sz w:val="24"/>
          <w:szCs w:val="24"/>
        </w:rPr>
      </w:pPr>
      <w:r w:rsidRPr="005E4461">
        <w:rPr>
          <w:rFonts w:ascii="Times New Roman" w:hAnsi="Times New Roman"/>
          <w:sz w:val="24"/>
          <w:szCs w:val="24"/>
        </w:rPr>
        <w:t xml:space="preserve">A projekt konzorciumi formában valósul meg Tokaj Város, Tarcal, Mád és Bodrogkeresztúr Község összefogásával. A teljes projektköltség 1.840.102.800 Ft, melyből Tokaj támogatási összege: 690.355.460 Ft, a támogatási intenzitás 100%. </w:t>
      </w:r>
      <w:r w:rsidRPr="005E4461">
        <w:rPr>
          <w:rFonts w:ascii="Times New Roman" w:hAnsi="Times New Roman"/>
          <w:bCs/>
          <w:sz w:val="24"/>
          <w:szCs w:val="24"/>
        </w:rPr>
        <w:t>A tervezett befejezési határidő 2021.09.30.</w:t>
      </w:r>
    </w:p>
    <w:p w14:paraId="3553A510" w14:textId="77777777" w:rsidR="00E53EDF" w:rsidRPr="005E4461" w:rsidRDefault="00E53EDF" w:rsidP="005E4461">
      <w:pPr>
        <w:rPr>
          <w:rFonts w:ascii="Times New Roman" w:hAnsi="Times New Roman"/>
          <w:sz w:val="24"/>
          <w:szCs w:val="24"/>
        </w:rPr>
      </w:pPr>
    </w:p>
    <w:p w14:paraId="50A6EB22" w14:textId="4BDED3F5" w:rsidR="00E53EDF" w:rsidRDefault="00095EE3" w:rsidP="005E4461">
      <w:pPr>
        <w:jc w:val="both"/>
        <w:rPr>
          <w:rFonts w:ascii="Times New Roman" w:hAnsi="Times New Roman"/>
          <w:sz w:val="24"/>
          <w:szCs w:val="24"/>
        </w:rPr>
      </w:pPr>
      <w:r w:rsidRPr="00095EE3">
        <w:drawing>
          <wp:inline distT="0" distB="0" distL="0" distR="0" wp14:anchorId="15B0A581" wp14:editId="5738D009">
            <wp:extent cx="6858000" cy="57975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579755"/>
                    </a:xfrm>
                    <a:prstGeom prst="rect">
                      <a:avLst/>
                    </a:prstGeom>
                    <a:noFill/>
                    <a:ln>
                      <a:noFill/>
                    </a:ln>
                  </pic:spPr>
                </pic:pic>
              </a:graphicData>
            </a:graphic>
          </wp:inline>
        </w:drawing>
      </w:r>
    </w:p>
    <w:p w14:paraId="2F0FD6B8" w14:textId="2AA30948" w:rsidR="00095EE3" w:rsidRDefault="00095EE3" w:rsidP="005E4461">
      <w:pPr>
        <w:jc w:val="both"/>
        <w:rPr>
          <w:rFonts w:ascii="Times New Roman" w:hAnsi="Times New Roman"/>
          <w:sz w:val="24"/>
          <w:szCs w:val="24"/>
        </w:rPr>
      </w:pPr>
    </w:p>
    <w:p w14:paraId="4BA7D883" w14:textId="77777777" w:rsidR="00095EE3" w:rsidRDefault="00095EE3">
      <w:pPr>
        <w:spacing w:after="160" w:line="259" w:lineRule="auto"/>
        <w:rPr>
          <w:rFonts w:ascii="Times New Roman" w:hAnsi="Times New Roman"/>
          <w:sz w:val="24"/>
          <w:szCs w:val="24"/>
        </w:rPr>
      </w:pPr>
      <w:r>
        <w:rPr>
          <w:rFonts w:ascii="Times New Roman" w:hAnsi="Times New Roman"/>
          <w:sz w:val="24"/>
          <w:szCs w:val="24"/>
        </w:rPr>
        <w:br w:type="page"/>
      </w:r>
    </w:p>
    <w:p w14:paraId="5E7CE239" w14:textId="020814CD" w:rsidR="0082710A" w:rsidRPr="005E4461" w:rsidRDefault="0082710A" w:rsidP="005E4461">
      <w:pPr>
        <w:pStyle w:val="Listaszerbekezds"/>
        <w:spacing w:after="0" w:line="240" w:lineRule="auto"/>
        <w:ind w:left="0"/>
        <w:jc w:val="both"/>
        <w:rPr>
          <w:rFonts w:ascii="Times New Roman" w:hAnsi="Times New Roman" w:cs="Times New Roman"/>
          <w:b/>
          <w:bCs/>
          <w:sz w:val="24"/>
          <w:szCs w:val="24"/>
          <w:u w:val="single"/>
        </w:rPr>
      </w:pPr>
      <w:r w:rsidRPr="005E4461">
        <w:rPr>
          <w:rFonts w:ascii="Times New Roman" w:hAnsi="Times New Roman" w:cs="Times New Roman"/>
          <w:b/>
          <w:bCs/>
          <w:sz w:val="24"/>
          <w:szCs w:val="24"/>
          <w:u w:val="single"/>
        </w:rPr>
        <w:lastRenderedPageBreak/>
        <w:t>EFOP-1.2.11-16-2017-00038 kódszámú – „Tokaj, Nálunk Jó!” projekt</w:t>
      </w:r>
    </w:p>
    <w:p w14:paraId="435FF638" w14:textId="77777777" w:rsidR="00432DE2" w:rsidRDefault="00432DE2" w:rsidP="005E4461">
      <w:pPr>
        <w:pStyle w:val="Listaszerbekezds"/>
        <w:spacing w:after="0" w:line="240" w:lineRule="auto"/>
        <w:ind w:left="0"/>
        <w:jc w:val="both"/>
        <w:rPr>
          <w:rFonts w:ascii="Times New Roman" w:hAnsi="Times New Roman" w:cs="Times New Roman"/>
          <w:sz w:val="24"/>
          <w:szCs w:val="24"/>
        </w:rPr>
      </w:pPr>
    </w:p>
    <w:p w14:paraId="77FF8CA1" w14:textId="2212B96B" w:rsidR="0082710A" w:rsidRPr="005E4461" w:rsidRDefault="0082710A" w:rsidP="005E4461">
      <w:pPr>
        <w:pStyle w:val="Listaszerbekezds"/>
        <w:spacing w:after="0" w:line="240" w:lineRule="auto"/>
        <w:ind w:left="0"/>
        <w:jc w:val="both"/>
        <w:rPr>
          <w:rFonts w:ascii="Times New Roman" w:hAnsi="Times New Roman" w:cs="Times New Roman"/>
          <w:sz w:val="24"/>
          <w:szCs w:val="24"/>
        </w:rPr>
      </w:pPr>
      <w:r w:rsidRPr="005E4461">
        <w:rPr>
          <w:rFonts w:ascii="Times New Roman" w:hAnsi="Times New Roman" w:cs="Times New Roman"/>
          <w:sz w:val="24"/>
          <w:szCs w:val="24"/>
        </w:rPr>
        <w:t xml:space="preserve">A támogatási kérelem 2017-ben került benyújtásra. A tényleges megvalósítás 2018.03.01-én kezdődött és 2021. 02.28-ig tart. Az első évben megalakult a projektmenedzsment szervezet, valamint egy ifjúsági referens és egy diákmunka koordinátor kezdte meg tevékenykedését a projektben. A projekt során 4 db önkormányzati lakás került teljes körű felújításra (mintegy bruttó 22.000.000 Ft értékben) és berendezésre (bútorok, műszaki cikkek: mintegy bruttó 22.000.000 Ft értékben). </w:t>
      </w:r>
    </w:p>
    <w:p w14:paraId="21C2FA38" w14:textId="77777777" w:rsidR="0082710A" w:rsidRPr="005E4461" w:rsidRDefault="0082710A" w:rsidP="005E4461">
      <w:pPr>
        <w:pStyle w:val="Listaszerbekezds"/>
        <w:spacing w:after="0" w:line="240" w:lineRule="auto"/>
        <w:ind w:left="0"/>
        <w:jc w:val="both"/>
        <w:rPr>
          <w:rFonts w:ascii="Times New Roman" w:hAnsi="Times New Roman" w:cs="Times New Roman"/>
          <w:sz w:val="24"/>
          <w:szCs w:val="24"/>
        </w:rPr>
      </w:pPr>
      <w:r w:rsidRPr="005E4461">
        <w:rPr>
          <w:rFonts w:ascii="Times New Roman" w:hAnsi="Times New Roman" w:cs="Times New Roman"/>
          <w:sz w:val="24"/>
          <w:szCs w:val="24"/>
        </w:rPr>
        <w:t>A projekt keretében jelenleg 27 fő részesül ösztönző támogatásban: Képzési támogatás: 2 évig 14 főnek, Garantált bérminimum 5 fő részére 12 hónapon keresztül, jogosítvány megszerzésének lehetősége 5 fő, lakhatás biztosítása 8 fő részére.</w:t>
      </w:r>
    </w:p>
    <w:p w14:paraId="50060864" w14:textId="77777777" w:rsidR="0082710A" w:rsidRPr="005E4461" w:rsidRDefault="0082710A" w:rsidP="005E4461">
      <w:pPr>
        <w:pStyle w:val="Listaszerbekezds"/>
        <w:spacing w:after="0" w:line="240" w:lineRule="auto"/>
        <w:ind w:left="0"/>
        <w:jc w:val="both"/>
        <w:rPr>
          <w:rFonts w:ascii="Times New Roman" w:hAnsi="Times New Roman" w:cs="Times New Roman"/>
          <w:sz w:val="24"/>
          <w:szCs w:val="24"/>
        </w:rPr>
      </w:pPr>
      <w:r w:rsidRPr="005E4461">
        <w:rPr>
          <w:rFonts w:ascii="Times New Roman" w:hAnsi="Times New Roman" w:cs="Times New Roman"/>
          <w:sz w:val="24"/>
          <w:szCs w:val="24"/>
        </w:rPr>
        <w:t>Ezen kívül jelenleg a projektben mentorok és különböző előadók és trénerek tartanak előadásokat.</w:t>
      </w:r>
    </w:p>
    <w:p w14:paraId="127CBA33" w14:textId="77777777" w:rsidR="0082710A" w:rsidRPr="005E4461" w:rsidRDefault="0082710A" w:rsidP="005E4461">
      <w:pPr>
        <w:pStyle w:val="Listaszerbekezds"/>
        <w:spacing w:after="0" w:line="240" w:lineRule="auto"/>
        <w:ind w:left="0"/>
        <w:jc w:val="both"/>
        <w:rPr>
          <w:rFonts w:ascii="Times New Roman" w:hAnsi="Times New Roman" w:cs="Times New Roman"/>
          <w:sz w:val="24"/>
          <w:szCs w:val="24"/>
        </w:rPr>
      </w:pPr>
      <w:r w:rsidRPr="005E4461">
        <w:rPr>
          <w:rFonts w:ascii="Times New Roman" w:hAnsi="Times New Roman" w:cs="Times New Roman"/>
          <w:sz w:val="24"/>
          <w:szCs w:val="24"/>
        </w:rPr>
        <w:t>A teljes projekt költség 200.000.000 Ft, támogatási intenzitás 100%</w:t>
      </w:r>
    </w:p>
    <w:p w14:paraId="55FFF025" w14:textId="4DD536AB" w:rsidR="0082710A" w:rsidRDefault="0082710A" w:rsidP="005E4461">
      <w:pPr>
        <w:pStyle w:val="Listaszerbekezds"/>
        <w:spacing w:after="0" w:line="240" w:lineRule="auto"/>
        <w:ind w:left="0"/>
        <w:jc w:val="both"/>
        <w:rPr>
          <w:rFonts w:ascii="Times New Roman" w:hAnsi="Times New Roman" w:cs="Times New Roman"/>
          <w:sz w:val="24"/>
          <w:szCs w:val="24"/>
        </w:rPr>
      </w:pPr>
    </w:p>
    <w:p w14:paraId="079F2CB8" w14:textId="4C13DC1E" w:rsidR="00432DE2" w:rsidRDefault="00277C34" w:rsidP="005E4461">
      <w:pPr>
        <w:pStyle w:val="Listaszerbekezds"/>
        <w:spacing w:after="0" w:line="240" w:lineRule="auto"/>
        <w:ind w:left="0"/>
        <w:jc w:val="both"/>
        <w:rPr>
          <w:rFonts w:ascii="Times New Roman" w:hAnsi="Times New Roman" w:cs="Times New Roman"/>
          <w:sz w:val="24"/>
          <w:szCs w:val="24"/>
        </w:rPr>
      </w:pPr>
      <w:r w:rsidRPr="00277C34">
        <w:drawing>
          <wp:inline distT="0" distB="0" distL="0" distR="0" wp14:anchorId="6C47EF78" wp14:editId="27741CBE">
            <wp:extent cx="6877050" cy="46418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7050" cy="464185"/>
                    </a:xfrm>
                    <a:prstGeom prst="rect">
                      <a:avLst/>
                    </a:prstGeom>
                    <a:noFill/>
                    <a:ln>
                      <a:noFill/>
                    </a:ln>
                  </pic:spPr>
                </pic:pic>
              </a:graphicData>
            </a:graphic>
          </wp:inline>
        </w:drawing>
      </w:r>
    </w:p>
    <w:p w14:paraId="47298EBC" w14:textId="5C6388F1" w:rsidR="00095EE3" w:rsidRDefault="00095EE3" w:rsidP="005E4461">
      <w:pPr>
        <w:pStyle w:val="Listaszerbekezds"/>
        <w:spacing w:after="0" w:line="240" w:lineRule="auto"/>
        <w:ind w:left="0"/>
        <w:jc w:val="both"/>
        <w:rPr>
          <w:rFonts w:ascii="Times New Roman" w:hAnsi="Times New Roman" w:cs="Times New Roman"/>
          <w:sz w:val="24"/>
          <w:szCs w:val="24"/>
        </w:rPr>
      </w:pPr>
    </w:p>
    <w:p w14:paraId="71896DA0" w14:textId="77777777" w:rsidR="00095EE3" w:rsidRDefault="00095EE3">
      <w:pPr>
        <w:spacing w:after="160" w:line="259" w:lineRule="auto"/>
        <w:rPr>
          <w:rFonts w:ascii="Times New Roman" w:hAnsi="Times New Roman"/>
          <w:sz w:val="24"/>
          <w:szCs w:val="24"/>
        </w:rPr>
      </w:pPr>
      <w:r>
        <w:rPr>
          <w:rFonts w:ascii="Times New Roman" w:hAnsi="Times New Roman"/>
          <w:sz w:val="24"/>
          <w:szCs w:val="24"/>
        </w:rPr>
        <w:br w:type="page"/>
      </w:r>
    </w:p>
    <w:p w14:paraId="2BB79FCC" w14:textId="0B12A576" w:rsidR="005E4461" w:rsidRPr="004327EB" w:rsidRDefault="005E4461" w:rsidP="005E4461">
      <w:pPr>
        <w:autoSpaceDE w:val="0"/>
        <w:autoSpaceDN w:val="0"/>
        <w:adjustRightInd w:val="0"/>
        <w:jc w:val="both"/>
        <w:rPr>
          <w:rFonts w:ascii="Times New Roman" w:hAnsi="Times New Roman"/>
          <w:b/>
          <w:bCs/>
          <w:sz w:val="24"/>
          <w:szCs w:val="24"/>
          <w:u w:val="single"/>
        </w:rPr>
      </w:pPr>
      <w:r w:rsidRPr="004327EB">
        <w:rPr>
          <w:rFonts w:ascii="Times New Roman" w:hAnsi="Times New Roman"/>
          <w:b/>
          <w:bCs/>
          <w:sz w:val="24"/>
          <w:szCs w:val="24"/>
          <w:u w:val="single"/>
        </w:rPr>
        <w:lastRenderedPageBreak/>
        <w:t>EFOP-3.9.2-16-2017-00030, „Humán kapacitások fejlesztése a Sárospatak - Tokaj térségben”</w:t>
      </w:r>
    </w:p>
    <w:p w14:paraId="3E7A145A" w14:textId="77777777" w:rsidR="005E4461" w:rsidRPr="005E4461" w:rsidRDefault="005E4461" w:rsidP="005E4461">
      <w:pPr>
        <w:autoSpaceDE w:val="0"/>
        <w:autoSpaceDN w:val="0"/>
        <w:adjustRightInd w:val="0"/>
        <w:jc w:val="both"/>
        <w:rPr>
          <w:rFonts w:ascii="Times New Roman" w:hAnsi="Times New Roman"/>
          <w:sz w:val="24"/>
          <w:szCs w:val="24"/>
        </w:rPr>
      </w:pPr>
    </w:p>
    <w:p w14:paraId="74CE35AA" w14:textId="45FFC33E" w:rsidR="005E4461" w:rsidRPr="005E4461" w:rsidRDefault="005E4461" w:rsidP="005E4461">
      <w:pPr>
        <w:autoSpaceDE w:val="0"/>
        <w:autoSpaceDN w:val="0"/>
        <w:adjustRightInd w:val="0"/>
        <w:jc w:val="both"/>
        <w:rPr>
          <w:rFonts w:ascii="Times New Roman" w:hAnsi="Times New Roman"/>
          <w:sz w:val="24"/>
          <w:szCs w:val="24"/>
        </w:rPr>
      </w:pPr>
      <w:r w:rsidRPr="005E4461">
        <w:rPr>
          <w:rFonts w:ascii="Times New Roman" w:hAnsi="Times New Roman"/>
          <w:sz w:val="24"/>
          <w:szCs w:val="24"/>
        </w:rPr>
        <w:t>Konzorciumvezető: Sárospatak Város Önkormányzata</w:t>
      </w:r>
    </w:p>
    <w:p w14:paraId="25EDB4AB" w14:textId="77777777" w:rsidR="005E4461" w:rsidRPr="005E4461" w:rsidRDefault="005E4461" w:rsidP="005E4461">
      <w:pPr>
        <w:autoSpaceDE w:val="0"/>
        <w:autoSpaceDN w:val="0"/>
        <w:adjustRightInd w:val="0"/>
        <w:jc w:val="both"/>
        <w:rPr>
          <w:rFonts w:ascii="Times New Roman" w:hAnsi="Times New Roman"/>
          <w:sz w:val="24"/>
          <w:szCs w:val="24"/>
        </w:rPr>
      </w:pPr>
      <w:r w:rsidRPr="005E4461">
        <w:rPr>
          <w:rFonts w:ascii="Times New Roman" w:hAnsi="Times New Roman"/>
          <w:sz w:val="24"/>
          <w:szCs w:val="24"/>
        </w:rPr>
        <w:t>Konzorciumi tagok:</w:t>
      </w:r>
    </w:p>
    <w:p w14:paraId="2B38CBFB"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Bodrogkeresztúr Község Önkormányzata</w:t>
      </w:r>
    </w:p>
    <w:p w14:paraId="3CF61714"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Erdőbénye Község Önkormányzata</w:t>
      </w:r>
    </w:p>
    <w:p w14:paraId="47E02B43"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Olaszliszka Község Önkormányzat</w:t>
      </w:r>
    </w:p>
    <w:p w14:paraId="7DE890BD"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Tarcal Község Önkormányzata</w:t>
      </w:r>
    </w:p>
    <w:p w14:paraId="5E0595F9"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Tokaj Borvidék Fejlődéséért Nonprofit Kft.</w:t>
      </w:r>
    </w:p>
    <w:p w14:paraId="17576047"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Vámosújfalu Község Önkormányzata</w:t>
      </w:r>
    </w:p>
    <w:p w14:paraId="0E155013"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Tokaj Város Önkormányzata</w:t>
      </w:r>
    </w:p>
    <w:p w14:paraId="62AD98EE" w14:textId="77777777" w:rsidR="005E4461" w:rsidRPr="005E4461" w:rsidRDefault="005E4461" w:rsidP="005E4461">
      <w:pPr>
        <w:autoSpaceDE w:val="0"/>
        <w:autoSpaceDN w:val="0"/>
        <w:adjustRightInd w:val="0"/>
        <w:jc w:val="both"/>
        <w:rPr>
          <w:rFonts w:ascii="Times New Roman" w:hAnsi="Times New Roman"/>
          <w:sz w:val="24"/>
          <w:szCs w:val="24"/>
        </w:rPr>
      </w:pPr>
    </w:p>
    <w:p w14:paraId="38D0CCDC" w14:textId="77777777" w:rsidR="005E4461" w:rsidRPr="005E4461" w:rsidRDefault="005E4461" w:rsidP="005E4461">
      <w:pPr>
        <w:autoSpaceDE w:val="0"/>
        <w:autoSpaceDN w:val="0"/>
        <w:adjustRightInd w:val="0"/>
        <w:jc w:val="both"/>
        <w:rPr>
          <w:rFonts w:ascii="Times New Roman" w:hAnsi="Times New Roman"/>
          <w:sz w:val="24"/>
          <w:szCs w:val="24"/>
        </w:rPr>
      </w:pPr>
      <w:r w:rsidRPr="005E4461">
        <w:rPr>
          <w:rFonts w:ascii="Times New Roman" w:hAnsi="Times New Roman"/>
          <w:sz w:val="24"/>
          <w:szCs w:val="24"/>
        </w:rPr>
        <w:t>A Projekt fizikai befejezésének tervezett napja: 2020.08.31.</w:t>
      </w:r>
    </w:p>
    <w:p w14:paraId="3D4FEB10" w14:textId="77777777" w:rsidR="005E4461" w:rsidRPr="005E4461" w:rsidRDefault="005E4461" w:rsidP="005E4461">
      <w:pPr>
        <w:autoSpaceDE w:val="0"/>
        <w:autoSpaceDN w:val="0"/>
        <w:adjustRightInd w:val="0"/>
        <w:jc w:val="both"/>
        <w:rPr>
          <w:rFonts w:ascii="Times New Roman" w:hAnsi="Times New Roman"/>
          <w:sz w:val="24"/>
          <w:szCs w:val="24"/>
        </w:rPr>
      </w:pPr>
      <w:r w:rsidRPr="005E4461">
        <w:rPr>
          <w:rFonts w:ascii="Times New Roman" w:hAnsi="Times New Roman"/>
          <w:sz w:val="24"/>
          <w:szCs w:val="24"/>
        </w:rPr>
        <w:t>A Projekt összköltsége 499 839 028 Ft.</w:t>
      </w:r>
    </w:p>
    <w:p w14:paraId="3DF9A82B" w14:textId="77777777" w:rsidR="005E4461" w:rsidRPr="005E4461" w:rsidRDefault="005E4461" w:rsidP="005E4461">
      <w:p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A támogatás mértéke 100 % vissza nem térítendő támogatás.</w:t>
      </w:r>
    </w:p>
    <w:p w14:paraId="2DB54DEB" w14:textId="0EA8C712" w:rsidR="005E4461" w:rsidRDefault="005E4461" w:rsidP="005E4461">
      <w:pPr>
        <w:autoSpaceDE w:val="0"/>
        <w:autoSpaceDN w:val="0"/>
        <w:adjustRightInd w:val="0"/>
        <w:jc w:val="both"/>
        <w:rPr>
          <w:rFonts w:ascii="Times New Roman" w:hAnsi="Times New Roman"/>
          <w:sz w:val="24"/>
          <w:szCs w:val="24"/>
        </w:rPr>
      </w:pPr>
    </w:p>
    <w:p w14:paraId="51C53AC4" w14:textId="77777777" w:rsidR="00432DE2" w:rsidRPr="005E4461" w:rsidRDefault="00432DE2" w:rsidP="00432DE2">
      <w:pPr>
        <w:autoSpaceDE w:val="0"/>
        <w:autoSpaceDN w:val="0"/>
        <w:adjustRightInd w:val="0"/>
        <w:jc w:val="both"/>
        <w:rPr>
          <w:rFonts w:ascii="Times New Roman" w:hAnsi="Times New Roman"/>
          <w:sz w:val="24"/>
          <w:szCs w:val="24"/>
          <w:u w:val="single"/>
        </w:rPr>
      </w:pPr>
      <w:r w:rsidRPr="005E4461">
        <w:rPr>
          <w:rFonts w:ascii="Times New Roman" w:hAnsi="Times New Roman"/>
          <w:sz w:val="24"/>
          <w:szCs w:val="24"/>
          <w:u w:val="single"/>
        </w:rPr>
        <w:t>Megvalósítandó feladatok:</w:t>
      </w:r>
    </w:p>
    <w:p w14:paraId="7BE9C205" w14:textId="77777777" w:rsidR="00432DE2" w:rsidRPr="005E4461" w:rsidRDefault="00432DE2" w:rsidP="005E4461">
      <w:pPr>
        <w:autoSpaceDE w:val="0"/>
        <w:autoSpaceDN w:val="0"/>
        <w:adjustRightInd w:val="0"/>
        <w:jc w:val="both"/>
        <w:rPr>
          <w:rFonts w:ascii="Times New Roman" w:hAnsi="Times New Roman"/>
          <w:sz w:val="24"/>
          <w:szCs w:val="24"/>
        </w:rPr>
      </w:pPr>
    </w:p>
    <w:p w14:paraId="4A80969D"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A Tokaji Óvoda eszközbeszerzése (informatikai eszközök, játékok)</w:t>
      </w:r>
    </w:p>
    <w:p w14:paraId="421EDDE6"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Sószoba került kialakításra a Tokaji Óvodában</w:t>
      </w:r>
    </w:p>
    <w:p w14:paraId="3533AABB"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Óvodai kirándulások szervezése a szülők bevonásával (Nyíregyházi Állatkert)</w:t>
      </w:r>
    </w:p>
    <w:p w14:paraId="1A298A2C"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Óvodai nyílt napok szervezése</w:t>
      </w:r>
    </w:p>
    <w:p w14:paraId="46A68357"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A Tokaji Fesztiválkatlanban megtartott Gyereknap is ebből a projektből valósult meg</w:t>
      </w:r>
    </w:p>
    <w:p w14:paraId="7D0973C6"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 xml:space="preserve">A Tokaji Ferenc Gimnázium részére eszközök kerültek beszerzésre </w:t>
      </w:r>
    </w:p>
    <w:p w14:paraId="6EAB6498"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 xml:space="preserve">Valamint informális képzések kerültek megvalósításra </w:t>
      </w:r>
    </w:p>
    <w:p w14:paraId="403F0A30"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1 hetes (5 napos) napközis sporttáborok szervezése óvodások számára (Tokaj: 40 fő x 2 alkalom)</w:t>
      </w:r>
    </w:p>
    <w:p w14:paraId="4D76ADBA"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Komplex mozgáskoordinációs program (torna, tartásjavítás, mozgáskoordinációs foglalkozások (Tokaj 40 fővel vesz részt)</w:t>
      </w:r>
    </w:p>
    <w:p w14:paraId="5CF38DB0"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Óvodai foglalkozások szervezése keretében úszásoktatás óvodások részére</w:t>
      </w:r>
    </w:p>
    <w:p w14:paraId="068F7FF8"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Iskolai bentlakásos táborok szervezése, lebonyolítása</w:t>
      </w:r>
    </w:p>
    <w:p w14:paraId="3B22152D" w14:textId="77777777" w:rsidR="005E4461" w:rsidRPr="005E4461" w:rsidRDefault="005E4461" w:rsidP="005E4461">
      <w:pPr>
        <w:numPr>
          <w:ilvl w:val="0"/>
          <w:numId w:val="7"/>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Közbeszerzési eljárások (képzés; rendezvény) sikeres lezárása, szerződéskötések, képzések, tréningek indítása</w:t>
      </w:r>
    </w:p>
    <w:p w14:paraId="2593251C" w14:textId="77777777" w:rsidR="005E4461" w:rsidRPr="005E4461" w:rsidRDefault="005E4461" w:rsidP="005E4461">
      <w:pPr>
        <w:numPr>
          <w:ilvl w:val="0"/>
          <w:numId w:val="7"/>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Óvodapedagógiai képzések lebonyolítása (6 féle képzés)</w:t>
      </w:r>
    </w:p>
    <w:p w14:paraId="19035AC5"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Kulturális témájú képzés lebonyolítása (Természeti és kulturális örökség menedzser)</w:t>
      </w:r>
    </w:p>
    <w:p w14:paraId="30BE08DD"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Tréningek lebonyolítása (10 féle trénig)</w:t>
      </w:r>
    </w:p>
    <w:p w14:paraId="0566E333"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Iskolai bentlakásos és napközis táborok szervezése, lebonyolítása</w:t>
      </w:r>
    </w:p>
    <w:p w14:paraId="5726D7FE"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Iskolai tematikus foglalkozások szervezése</w:t>
      </w:r>
    </w:p>
    <w:p w14:paraId="08391B85"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Tantervi tematikához illeszkedő kirándulások szervezése</w:t>
      </w:r>
    </w:p>
    <w:p w14:paraId="11E1748B"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t>Szakmabemutatók, üzemlátogatások szervezése</w:t>
      </w:r>
    </w:p>
    <w:p w14:paraId="1140A6F4"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Pénzügyi és vállalkozási ismeretek témában iskolások felkészítése a hatékony pénzkezelésre</w:t>
      </w:r>
    </w:p>
    <w:p w14:paraId="7851A9CA"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Vállalkozási tréningprogram iskolásoknak</w:t>
      </w:r>
    </w:p>
    <w:p w14:paraId="6FEBB1B3"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Életvitel órák iskolásoknak</w:t>
      </w:r>
    </w:p>
    <w:p w14:paraId="400D2207"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Tehetséggondozás zeneoktatás és művészeti témában</w:t>
      </w:r>
    </w:p>
    <w:p w14:paraId="52DF4613"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Óvodai foglalkozások szervezése (úszásoktatás, zeneovi, kézműves foglalkozások)</w:t>
      </w:r>
    </w:p>
    <w:p w14:paraId="5A903771"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Óvodai kirándulások szervezése</w:t>
      </w:r>
    </w:p>
    <w:p w14:paraId="69ABE382"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Óvodai sporttábor szervezése</w:t>
      </w:r>
    </w:p>
    <w:p w14:paraId="0243DCEE"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Differ mérés-nyomonkövetés</w:t>
      </w:r>
    </w:p>
    <w:p w14:paraId="007F3CC1" w14:textId="77777777" w:rsidR="005E4461" w:rsidRPr="005E4461" w:rsidRDefault="005E4461" w:rsidP="005E4461">
      <w:pPr>
        <w:numPr>
          <w:ilvl w:val="0"/>
          <w:numId w:val="6"/>
        </w:numPr>
        <w:autoSpaceDE w:val="0"/>
        <w:autoSpaceDN w:val="0"/>
        <w:adjustRightInd w:val="0"/>
        <w:jc w:val="both"/>
        <w:rPr>
          <w:rFonts w:ascii="Times New Roman" w:hAnsi="Times New Roman"/>
          <w:sz w:val="24"/>
          <w:szCs w:val="24"/>
        </w:rPr>
      </w:pPr>
      <w:r w:rsidRPr="005E4461">
        <w:rPr>
          <w:rFonts w:ascii="Times New Roman" w:hAnsi="Times New Roman"/>
          <w:sz w:val="24"/>
          <w:szCs w:val="24"/>
        </w:rPr>
        <w:lastRenderedPageBreak/>
        <w:t>Óvodai nyílt napok szervezése</w:t>
      </w:r>
    </w:p>
    <w:p w14:paraId="2C4A64A0"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Szakmai műhelyek és esetkonferenciák védőnőknek</w:t>
      </w:r>
    </w:p>
    <w:p w14:paraId="3D03148D"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Szakmai nap óvodapedagógusoknak</w:t>
      </w:r>
    </w:p>
    <w:p w14:paraId="3A384864" w14:textId="77777777" w:rsidR="005E4461" w:rsidRPr="005E4461" w:rsidRDefault="005E4461" w:rsidP="005E4461">
      <w:pPr>
        <w:numPr>
          <w:ilvl w:val="0"/>
          <w:numId w:val="6"/>
        </w:numPr>
        <w:autoSpaceDE w:val="0"/>
        <w:autoSpaceDN w:val="0"/>
        <w:adjustRightInd w:val="0"/>
        <w:jc w:val="both"/>
        <w:rPr>
          <w:rFonts w:ascii="Times New Roman" w:hAnsi="Times New Roman"/>
          <w:color w:val="000000"/>
          <w:sz w:val="24"/>
          <w:szCs w:val="24"/>
        </w:rPr>
      </w:pPr>
      <w:r w:rsidRPr="005E4461">
        <w:rPr>
          <w:rFonts w:ascii="Times New Roman" w:hAnsi="Times New Roman"/>
          <w:color w:val="000000"/>
          <w:sz w:val="24"/>
          <w:szCs w:val="24"/>
        </w:rPr>
        <w:t>Ösztöndíjprogram</w:t>
      </w:r>
    </w:p>
    <w:p w14:paraId="313F250B" w14:textId="7913967D" w:rsidR="0082710A" w:rsidRDefault="0082710A" w:rsidP="005E4461">
      <w:pPr>
        <w:jc w:val="both"/>
        <w:rPr>
          <w:rFonts w:ascii="Times New Roman" w:hAnsi="Times New Roman"/>
          <w:sz w:val="24"/>
          <w:szCs w:val="24"/>
          <w:u w:val="single"/>
        </w:rPr>
      </w:pPr>
    </w:p>
    <w:p w14:paraId="7F812921" w14:textId="286FC0B8" w:rsidR="00574273" w:rsidRDefault="00574273" w:rsidP="005E4461">
      <w:pPr>
        <w:jc w:val="both"/>
        <w:rPr>
          <w:rFonts w:ascii="Times New Roman" w:hAnsi="Times New Roman"/>
          <w:sz w:val="24"/>
          <w:szCs w:val="24"/>
          <w:u w:val="single"/>
        </w:rPr>
      </w:pPr>
      <w:r w:rsidRPr="00574273">
        <w:drawing>
          <wp:inline distT="0" distB="0" distL="0" distR="0" wp14:anchorId="7EB6BFDC" wp14:editId="3867FE26">
            <wp:extent cx="6581775" cy="464185"/>
            <wp:effectExtent l="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1775" cy="464185"/>
                    </a:xfrm>
                    <a:prstGeom prst="rect">
                      <a:avLst/>
                    </a:prstGeom>
                    <a:noFill/>
                    <a:ln>
                      <a:noFill/>
                    </a:ln>
                  </pic:spPr>
                </pic:pic>
              </a:graphicData>
            </a:graphic>
          </wp:inline>
        </w:drawing>
      </w:r>
    </w:p>
    <w:p w14:paraId="25E62A92" w14:textId="09FBF35E" w:rsidR="00574273" w:rsidRDefault="00574273" w:rsidP="005E4461">
      <w:pPr>
        <w:jc w:val="both"/>
        <w:rPr>
          <w:rFonts w:ascii="Times New Roman" w:hAnsi="Times New Roman"/>
          <w:sz w:val="24"/>
          <w:szCs w:val="24"/>
          <w:u w:val="single"/>
        </w:rPr>
      </w:pPr>
    </w:p>
    <w:p w14:paraId="3C402A3E" w14:textId="77777777" w:rsidR="00574273" w:rsidRPr="004327EB" w:rsidRDefault="00574273" w:rsidP="005E4461">
      <w:pPr>
        <w:jc w:val="both"/>
        <w:rPr>
          <w:rFonts w:ascii="Times New Roman" w:hAnsi="Times New Roman"/>
          <w:sz w:val="24"/>
          <w:szCs w:val="24"/>
          <w:u w:val="single"/>
        </w:rPr>
      </w:pPr>
    </w:p>
    <w:p w14:paraId="5B5F277F" w14:textId="4E531EB6" w:rsidR="005E4461" w:rsidRPr="004327EB" w:rsidRDefault="005E4461" w:rsidP="005E4461">
      <w:pPr>
        <w:autoSpaceDE w:val="0"/>
        <w:autoSpaceDN w:val="0"/>
        <w:jc w:val="both"/>
        <w:rPr>
          <w:rFonts w:ascii="Times New Roman" w:hAnsi="Times New Roman"/>
          <w:b/>
          <w:sz w:val="24"/>
          <w:szCs w:val="24"/>
          <w:u w:val="single"/>
        </w:rPr>
      </w:pPr>
      <w:r w:rsidRPr="004327EB">
        <w:rPr>
          <w:rFonts w:ascii="Times New Roman" w:hAnsi="Times New Roman"/>
          <w:b/>
          <w:sz w:val="24"/>
          <w:szCs w:val="24"/>
          <w:u w:val="single"/>
        </w:rPr>
        <w:t xml:space="preserve">Humán szolgáltatások fejlesztése térségi szemléletben – Humán szolgáltatások fejlesztése a Tokaj-Sárospatak térségben </w:t>
      </w:r>
      <w:r w:rsidRPr="004327EB">
        <w:rPr>
          <w:rFonts w:ascii="Times New Roman" w:hAnsi="Times New Roman"/>
          <w:b/>
          <w:color w:val="000000"/>
          <w:sz w:val="24"/>
          <w:szCs w:val="24"/>
          <w:u w:val="single"/>
        </w:rPr>
        <w:t>EFOP-1.5.3-16-2017-00038</w:t>
      </w:r>
    </w:p>
    <w:p w14:paraId="6C7B0B1A" w14:textId="77777777" w:rsidR="005E4461" w:rsidRPr="005E4461" w:rsidRDefault="005E4461" w:rsidP="005E4461">
      <w:pPr>
        <w:autoSpaceDE w:val="0"/>
        <w:autoSpaceDN w:val="0"/>
        <w:rPr>
          <w:rFonts w:ascii="Times New Roman" w:hAnsi="Times New Roman"/>
          <w:sz w:val="24"/>
          <w:szCs w:val="24"/>
        </w:rPr>
      </w:pPr>
    </w:p>
    <w:p w14:paraId="26ABF7F9" w14:textId="65CE0B20" w:rsidR="005E4461" w:rsidRPr="005E4461" w:rsidRDefault="005E4461" w:rsidP="005E4461">
      <w:pPr>
        <w:autoSpaceDE w:val="0"/>
        <w:autoSpaceDN w:val="0"/>
        <w:rPr>
          <w:rFonts w:ascii="Times New Roman" w:hAnsi="Times New Roman"/>
          <w:sz w:val="24"/>
          <w:szCs w:val="24"/>
        </w:rPr>
      </w:pPr>
      <w:r w:rsidRPr="005E4461">
        <w:rPr>
          <w:rFonts w:ascii="Times New Roman" w:hAnsi="Times New Roman"/>
          <w:sz w:val="24"/>
          <w:szCs w:val="24"/>
        </w:rPr>
        <w:t>Konzorciumvezető: Tokaj Város Önkormányzata</w:t>
      </w:r>
    </w:p>
    <w:p w14:paraId="2E54D749"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Támogatás összege: 499 925 724 F t</w:t>
      </w:r>
    </w:p>
    <w:p w14:paraId="07D3DE78"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Tokaj Város Önkormányzata 155 833 872 ,-</w:t>
      </w:r>
    </w:p>
    <w:p w14:paraId="660A57FD" w14:textId="77777777" w:rsidR="005E4461" w:rsidRPr="005E4461" w:rsidRDefault="005E4461" w:rsidP="005E4461">
      <w:pPr>
        <w:rPr>
          <w:rFonts w:ascii="Times New Roman" w:hAnsi="Times New Roman"/>
          <w:color w:val="000000"/>
          <w:sz w:val="24"/>
          <w:szCs w:val="24"/>
        </w:rPr>
      </w:pPr>
    </w:p>
    <w:p w14:paraId="35DE802B"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Bodrogkeresztúr Község Önkormányzata 19 174 214 ,-</w:t>
      </w:r>
    </w:p>
    <w:p w14:paraId="33E7C3BE"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Erdőbénye Község Önkormányzata 35 724 698 ,-</w:t>
      </w:r>
    </w:p>
    <w:p w14:paraId="5D4D2CDC"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Olaszliszka Község Önkormányzat 33 763 850 ,-</w:t>
      </w:r>
    </w:p>
    <w:p w14:paraId="74BECFC8"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Sárospatak Város Önkormányzata 61 009 400 ,-</w:t>
      </w:r>
    </w:p>
    <w:p w14:paraId="57362005"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Tarcal Község Önkormányzata 39 882 386 ,-</w:t>
      </w:r>
    </w:p>
    <w:p w14:paraId="52773D1A"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Tokaj Borvidék Fejlődéséért Nonprofit Korlátolt Felelősségű Társaság 111 895 350</w:t>
      </w:r>
    </w:p>
    <w:p w14:paraId="436FEDC1"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Vámosújfalu Község Önkormányzata 42 641 954 ,-</w:t>
      </w:r>
    </w:p>
    <w:p w14:paraId="3800E0C0" w14:textId="77777777" w:rsidR="005E4461" w:rsidRPr="005E4461" w:rsidRDefault="005E4461" w:rsidP="005E4461">
      <w:pPr>
        <w:rPr>
          <w:rFonts w:ascii="Times New Roman" w:hAnsi="Times New Roman"/>
          <w:sz w:val="24"/>
          <w:szCs w:val="24"/>
        </w:rPr>
      </w:pPr>
    </w:p>
    <w:p w14:paraId="14BB0536" w14:textId="77777777" w:rsidR="005E4461" w:rsidRPr="005E4461" w:rsidRDefault="005E4461" w:rsidP="005E4461">
      <w:pPr>
        <w:rPr>
          <w:rFonts w:ascii="Times New Roman" w:hAnsi="Times New Roman"/>
          <w:sz w:val="24"/>
          <w:szCs w:val="24"/>
        </w:rPr>
      </w:pPr>
      <w:r w:rsidRPr="005E4461">
        <w:rPr>
          <w:rFonts w:ascii="Times New Roman" w:hAnsi="Times New Roman"/>
          <w:sz w:val="24"/>
          <w:szCs w:val="24"/>
        </w:rPr>
        <w:t>A projekt megvalósításának időtartama 30 hónap.</w:t>
      </w:r>
    </w:p>
    <w:p w14:paraId="0A52B0C3" w14:textId="11A3ED36" w:rsidR="005E4461" w:rsidRDefault="005E4461" w:rsidP="005E4461">
      <w:pPr>
        <w:rPr>
          <w:rFonts w:ascii="Times New Roman" w:hAnsi="Times New Roman"/>
          <w:sz w:val="24"/>
          <w:szCs w:val="24"/>
        </w:rPr>
      </w:pPr>
    </w:p>
    <w:p w14:paraId="667BC397" w14:textId="77777777" w:rsidR="00432DE2" w:rsidRPr="005E4461" w:rsidRDefault="00432DE2" w:rsidP="00432DE2">
      <w:pPr>
        <w:autoSpaceDE w:val="0"/>
        <w:autoSpaceDN w:val="0"/>
        <w:adjustRightInd w:val="0"/>
        <w:jc w:val="both"/>
        <w:rPr>
          <w:rFonts w:ascii="Times New Roman" w:hAnsi="Times New Roman"/>
          <w:sz w:val="24"/>
          <w:szCs w:val="24"/>
          <w:u w:val="single"/>
        </w:rPr>
      </w:pPr>
      <w:r w:rsidRPr="005E4461">
        <w:rPr>
          <w:rFonts w:ascii="Times New Roman" w:hAnsi="Times New Roman"/>
          <w:sz w:val="24"/>
          <w:szCs w:val="24"/>
          <w:u w:val="single"/>
        </w:rPr>
        <w:t>Megvalósítandó feladatok:</w:t>
      </w:r>
    </w:p>
    <w:p w14:paraId="23F4194F" w14:textId="77777777" w:rsidR="00432DE2" w:rsidRPr="005E4461" w:rsidRDefault="00432DE2" w:rsidP="005E4461">
      <w:pPr>
        <w:rPr>
          <w:rFonts w:ascii="Times New Roman" w:hAnsi="Times New Roman"/>
          <w:sz w:val="24"/>
          <w:szCs w:val="24"/>
        </w:rPr>
      </w:pPr>
    </w:p>
    <w:p w14:paraId="2153D2A7" w14:textId="77777777" w:rsidR="005E4461" w:rsidRPr="005E4461" w:rsidRDefault="005E4461" w:rsidP="005E4461">
      <w:pPr>
        <w:pStyle w:val="Listaszerbekezds"/>
        <w:numPr>
          <w:ilvl w:val="0"/>
          <w:numId w:val="8"/>
        </w:numPr>
        <w:spacing w:after="0" w:line="240" w:lineRule="auto"/>
        <w:rPr>
          <w:rFonts w:ascii="Times New Roman" w:hAnsi="Times New Roman" w:cs="Times New Roman"/>
          <w:sz w:val="24"/>
          <w:szCs w:val="24"/>
        </w:rPr>
      </w:pPr>
      <w:r w:rsidRPr="005E4461">
        <w:rPr>
          <w:rFonts w:ascii="Times New Roman" w:hAnsi="Times New Roman" w:cs="Times New Roman"/>
          <w:sz w:val="24"/>
          <w:szCs w:val="24"/>
        </w:rPr>
        <w:t>Sószoba kialakítása a Tokaji Időskorúak Otthonában</w:t>
      </w:r>
    </w:p>
    <w:p w14:paraId="27C511C8" w14:textId="77777777" w:rsidR="005E4461" w:rsidRPr="005E4461" w:rsidRDefault="005E4461" w:rsidP="005E4461">
      <w:pPr>
        <w:pStyle w:val="Listaszerbekezds"/>
        <w:numPr>
          <w:ilvl w:val="0"/>
          <w:numId w:val="8"/>
        </w:numPr>
        <w:spacing w:after="0" w:line="240" w:lineRule="auto"/>
        <w:rPr>
          <w:rFonts w:ascii="Times New Roman" w:hAnsi="Times New Roman" w:cs="Times New Roman"/>
          <w:sz w:val="24"/>
          <w:szCs w:val="24"/>
        </w:rPr>
      </w:pPr>
      <w:r w:rsidRPr="005E4461">
        <w:rPr>
          <w:rFonts w:ascii="Times New Roman" w:hAnsi="Times New Roman" w:cs="Times New Roman"/>
          <w:sz w:val="24"/>
          <w:szCs w:val="24"/>
        </w:rPr>
        <w:t>Tokaji Gyermeknap programok lebonyolítása</w:t>
      </w:r>
    </w:p>
    <w:p w14:paraId="4E47F993" w14:textId="77777777" w:rsidR="005E4461" w:rsidRPr="005E4461" w:rsidRDefault="005E4461" w:rsidP="005E4461">
      <w:pPr>
        <w:pStyle w:val="Listaszerbekezds"/>
        <w:numPr>
          <w:ilvl w:val="0"/>
          <w:numId w:val="8"/>
        </w:numPr>
        <w:spacing w:after="0" w:line="240" w:lineRule="auto"/>
        <w:rPr>
          <w:rFonts w:ascii="Times New Roman" w:hAnsi="Times New Roman" w:cs="Times New Roman"/>
          <w:sz w:val="24"/>
          <w:szCs w:val="24"/>
        </w:rPr>
      </w:pPr>
      <w:r w:rsidRPr="005E4461">
        <w:rPr>
          <w:rFonts w:ascii="Times New Roman" w:hAnsi="Times New Roman" w:cs="Times New Roman"/>
          <w:sz w:val="24"/>
          <w:szCs w:val="24"/>
        </w:rPr>
        <w:t xml:space="preserve">kis- és nagy értékű eszközök beszerzése (pl.: beltéri bútor, egészségügyi eszközök, alapanyagok, informatikai eszközök, sportszerek) </w:t>
      </w:r>
    </w:p>
    <w:p w14:paraId="3A3E6707" w14:textId="77777777" w:rsidR="005E4461" w:rsidRPr="005E4461" w:rsidRDefault="005E4461" w:rsidP="005E4461">
      <w:pPr>
        <w:pStyle w:val="Listaszerbekezds"/>
        <w:numPr>
          <w:ilvl w:val="0"/>
          <w:numId w:val="8"/>
        </w:numPr>
        <w:spacing w:after="0" w:line="240" w:lineRule="auto"/>
        <w:rPr>
          <w:rFonts w:ascii="Times New Roman" w:hAnsi="Times New Roman" w:cs="Times New Roman"/>
          <w:sz w:val="24"/>
          <w:szCs w:val="24"/>
        </w:rPr>
      </w:pPr>
      <w:r w:rsidRPr="005E4461">
        <w:rPr>
          <w:rFonts w:ascii="Times New Roman" w:hAnsi="Times New Roman" w:cs="Times New Roman"/>
          <w:sz w:val="24"/>
          <w:szCs w:val="24"/>
        </w:rPr>
        <w:t>Egészségtáborok szervezése</w:t>
      </w:r>
    </w:p>
    <w:p w14:paraId="07033D3B" w14:textId="77777777" w:rsidR="005E4461" w:rsidRPr="005E4461" w:rsidRDefault="005E4461" w:rsidP="005E4461">
      <w:pPr>
        <w:pStyle w:val="Listaszerbekezds"/>
        <w:numPr>
          <w:ilvl w:val="0"/>
          <w:numId w:val="8"/>
        </w:numPr>
        <w:spacing w:after="0" w:line="240" w:lineRule="auto"/>
        <w:rPr>
          <w:rFonts w:ascii="Times New Roman" w:hAnsi="Times New Roman" w:cs="Times New Roman"/>
          <w:sz w:val="24"/>
          <w:szCs w:val="24"/>
        </w:rPr>
      </w:pPr>
      <w:r w:rsidRPr="005E4461">
        <w:rPr>
          <w:rFonts w:ascii="Times New Roman" w:hAnsi="Times New Roman" w:cs="Times New Roman"/>
          <w:sz w:val="24"/>
          <w:szCs w:val="24"/>
        </w:rPr>
        <w:t>Egészségnapok (ingyenes szűrővizsgálatok, testmozgás tanácsadás)</w:t>
      </w:r>
    </w:p>
    <w:p w14:paraId="2250B110" w14:textId="77777777" w:rsidR="005E4461" w:rsidRPr="005E4461" w:rsidRDefault="005E4461" w:rsidP="005E4461">
      <w:pPr>
        <w:pStyle w:val="Listaszerbekezds"/>
        <w:numPr>
          <w:ilvl w:val="0"/>
          <w:numId w:val="8"/>
        </w:numPr>
        <w:spacing w:after="0" w:line="240" w:lineRule="auto"/>
        <w:rPr>
          <w:rFonts w:ascii="Times New Roman" w:hAnsi="Times New Roman" w:cs="Times New Roman"/>
          <w:sz w:val="24"/>
          <w:szCs w:val="24"/>
        </w:rPr>
      </w:pPr>
      <w:r w:rsidRPr="005E4461">
        <w:rPr>
          <w:rFonts w:ascii="Times New Roman" w:hAnsi="Times New Roman" w:cs="Times New Roman"/>
          <w:sz w:val="24"/>
          <w:szCs w:val="24"/>
        </w:rPr>
        <w:t>Tanösvény táblák elhelyezése Tokaj város területén</w:t>
      </w:r>
    </w:p>
    <w:p w14:paraId="1861B145" w14:textId="77777777" w:rsidR="005E4461" w:rsidRPr="005E4461" w:rsidRDefault="005E4461" w:rsidP="005E4461">
      <w:pPr>
        <w:pStyle w:val="Listaszerbekezds"/>
        <w:numPr>
          <w:ilvl w:val="0"/>
          <w:numId w:val="9"/>
        </w:numPr>
        <w:spacing w:after="0" w:line="240" w:lineRule="auto"/>
        <w:rPr>
          <w:rFonts w:ascii="Times New Roman" w:hAnsi="Times New Roman" w:cs="Times New Roman"/>
          <w:sz w:val="24"/>
          <w:szCs w:val="24"/>
        </w:rPr>
      </w:pPr>
      <w:r w:rsidRPr="005E4461">
        <w:rPr>
          <w:rFonts w:ascii="Times New Roman" w:hAnsi="Times New Roman" w:cs="Times New Roman"/>
          <w:sz w:val="24"/>
          <w:szCs w:val="24"/>
        </w:rPr>
        <w:t>Képzéseken, tanfolyamokon való részvétel (pl.: aranykalászos gazda, parkgondozó, egészségfejlesztési segítő, fizioterápiás asszisztens,  diabetológiai szakápoló, óvodai dajka OKJ képzés, szociális gondozó és ápoló képzés, közművelődési szakember)</w:t>
      </w:r>
    </w:p>
    <w:p w14:paraId="76DA6421" w14:textId="77777777" w:rsidR="005E4461" w:rsidRPr="005E4461" w:rsidRDefault="005E4461" w:rsidP="005E4461">
      <w:pPr>
        <w:pStyle w:val="Listaszerbekezds"/>
        <w:numPr>
          <w:ilvl w:val="0"/>
          <w:numId w:val="9"/>
        </w:numPr>
        <w:spacing w:after="0" w:line="240" w:lineRule="auto"/>
        <w:jc w:val="both"/>
        <w:rPr>
          <w:rFonts w:ascii="Times New Roman" w:hAnsi="Times New Roman" w:cs="Times New Roman"/>
          <w:sz w:val="24"/>
          <w:szCs w:val="24"/>
        </w:rPr>
      </w:pPr>
      <w:r w:rsidRPr="005E4461">
        <w:rPr>
          <w:rFonts w:ascii="Times New Roman" w:hAnsi="Times New Roman" w:cs="Times New Roman"/>
          <w:sz w:val="24"/>
          <w:szCs w:val="24"/>
        </w:rPr>
        <w:t>Rendezvények szervezése, lebonyolítása (pl.: sportnap, egészségnap, szemléletformáló előadások, senior akadémia, amatőr művészeti találkozók)</w:t>
      </w:r>
    </w:p>
    <w:p w14:paraId="30925D3E" w14:textId="7A0FD3BC" w:rsidR="008D3675" w:rsidRDefault="008D3675" w:rsidP="005E4461">
      <w:pPr>
        <w:jc w:val="both"/>
        <w:rPr>
          <w:rFonts w:ascii="Times New Roman" w:hAnsi="Times New Roman"/>
          <w:sz w:val="24"/>
          <w:szCs w:val="24"/>
        </w:rPr>
      </w:pPr>
    </w:p>
    <w:p w14:paraId="05F6C54C" w14:textId="1E7DEE76" w:rsidR="00432DE2" w:rsidRDefault="00B56F74" w:rsidP="005E4461">
      <w:pPr>
        <w:jc w:val="both"/>
        <w:rPr>
          <w:rFonts w:ascii="Times New Roman" w:hAnsi="Times New Roman"/>
          <w:sz w:val="24"/>
          <w:szCs w:val="24"/>
        </w:rPr>
      </w:pPr>
      <w:r w:rsidRPr="00B56F74">
        <w:drawing>
          <wp:inline distT="0" distB="0" distL="0" distR="0" wp14:anchorId="28EF772A" wp14:editId="6B664626">
            <wp:extent cx="6791325" cy="464185"/>
            <wp:effectExtent l="0" t="0" r="952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1325" cy="464185"/>
                    </a:xfrm>
                    <a:prstGeom prst="rect">
                      <a:avLst/>
                    </a:prstGeom>
                    <a:noFill/>
                    <a:ln>
                      <a:noFill/>
                    </a:ln>
                  </pic:spPr>
                </pic:pic>
              </a:graphicData>
            </a:graphic>
          </wp:inline>
        </w:drawing>
      </w:r>
    </w:p>
    <w:p w14:paraId="4A039E19" w14:textId="7819365B" w:rsidR="00095EE3" w:rsidRDefault="00095EE3">
      <w:pPr>
        <w:spacing w:after="160" w:line="259" w:lineRule="auto"/>
        <w:rPr>
          <w:rFonts w:ascii="Times New Roman" w:hAnsi="Times New Roman"/>
          <w:sz w:val="24"/>
          <w:szCs w:val="24"/>
        </w:rPr>
      </w:pPr>
      <w:r>
        <w:rPr>
          <w:rFonts w:ascii="Times New Roman" w:hAnsi="Times New Roman"/>
          <w:sz w:val="24"/>
          <w:szCs w:val="24"/>
        </w:rPr>
        <w:br w:type="page"/>
      </w:r>
    </w:p>
    <w:p w14:paraId="10B9EFE4" w14:textId="58FD641B" w:rsidR="005E4461" w:rsidRPr="004327EB" w:rsidRDefault="005E4461" w:rsidP="005E4461">
      <w:pPr>
        <w:jc w:val="both"/>
        <w:rPr>
          <w:rFonts w:ascii="Times New Roman" w:hAnsi="Times New Roman"/>
          <w:b/>
          <w:bCs/>
          <w:sz w:val="24"/>
          <w:szCs w:val="24"/>
          <w:u w:val="single"/>
        </w:rPr>
      </w:pPr>
      <w:bookmarkStart w:id="0" w:name="_GoBack"/>
      <w:bookmarkEnd w:id="0"/>
      <w:r w:rsidRPr="004327EB">
        <w:rPr>
          <w:rFonts w:ascii="Times New Roman" w:hAnsi="Times New Roman"/>
          <w:b/>
          <w:bCs/>
          <w:sz w:val="24"/>
          <w:szCs w:val="24"/>
          <w:u w:val="single"/>
        </w:rPr>
        <w:lastRenderedPageBreak/>
        <w:t>GINOP-7.1.6-16-2017-00005 TOKAJ-HEGYALJAI TÖRTÉNELMI BORVIDÉK KULTÚRTÁJ VILÁGÖRÖKSÉGI HELYSZÍNEINEK FEJLESZTÉSE</w:t>
      </w:r>
    </w:p>
    <w:p w14:paraId="0BF65154" w14:textId="6F43532D" w:rsidR="00E14713" w:rsidRDefault="00E14713" w:rsidP="005E4461">
      <w:pPr>
        <w:jc w:val="both"/>
        <w:rPr>
          <w:rFonts w:ascii="Times New Roman" w:hAnsi="Times New Roman"/>
          <w:b/>
          <w:bCs/>
          <w:sz w:val="24"/>
          <w:szCs w:val="24"/>
        </w:rPr>
      </w:pPr>
    </w:p>
    <w:p w14:paraId="029D7A87" w14:textId="072CE463" w:rsidR="004327EB" w:rsidRPr="004327EB" w:rsidRDefault="004327EB" w:rsidP="004327EB">
      <w:pPr>
        <w:jc w:val="both"/>
        <w:rPr>
          <w:rFonts w:ascii="Times New Roman" w:hAnsi="Times New Roman"/>
          <w:sz w:val="24"/>
          <w:szCs w:val="24"/>
        </w:rPr>
      </w:pPr>
      <w:r w:rsidRPr="004327EB">
        <w:rPr>
          <w:rFonts w:ascii="Times New Roman" w:hAnsi="Times New Roman"/>
          <w:sz w:val="24"/>
          <w:szCs w:val="24"/>
        </w:rPr>
        <w:t>A projekt konzorciumi formában valósul meg, a konzorcium vezetője a Tokaj Borvidék Fejlődéséért Nonprofit Korlátolt Felelősségű Társaság.</w:t>
      </w:r>
    </w:p>
    <w:p w14:paraId="60425A5E" w14:textId="746C90C0" w:rsidR="004327EB" w:rsidRDefault="004327EB" w:rsidP="004327EB">
      <w:pPr>
        <w:jc w:val="both"/>
        <w:rPr>
          <w:rFonts w:ascii="Times New Roman" w:hAnsi="Times New Roman"/>
          <w:sz w:val="24"/>
          <w:szCs w:val="24"/>
        </w:rPr>
      </w:pPr>
      <w:r w:rsidRPr="004327EB">
        <w:rPr>
          <w:rFonts w:ascii="Times New Roman" w:hAnsi="Times New Roman"/>
          <w:sz w:val="24"/>
          <w:szCs w:val="24"/>
        </w:rPr>
        <w:t>A támogatási szerződés 2018.03.02-án lépett hatályba, a teljes támogatási összeg 3.400.000.000 Ft, ebből Tokaj Város Önkormányzata 999.825.557 Ft támogatásban részesül, a támogatási intenzitás 100 %.</w:t>
      </w:r>
    </w:p>
    <w:p w14:paraId="03FA058C" w14:textId="77777777" w:rsidR="004327EB" w:rsidRPr="004327EB" w:rsidRDefault="004327EB" w:rsidP="004327EB">
      <w:pPr>
        <w:jc w:val="both"/>
        <w:rPr>
          <w:rFonts w:ascii="Times New Roman" w:hAnsi="Times New Roman"/>
          <w:sz w:val="24"/>
          <w:szCs w:val="24"/>
        </w:rPr>
      </w:pPr>
    </w:p>
    <w:p w14:paraId="45E15A4C" w14:textId="4AA1CF10" w:rsidR="004327EB" w:rsidRPr="004327EB" w:rsidRDefault="004327EB" w:rsidP="004327EB">
      <w:pPr>
        <w:jc w:val="both"/>
        <w:rPr>
          <w:rFonts w:ascii="Times New Roman" w:hAnsi="Times New Roman"/>
          <w:sz w:val="24"/>
          <w:szCs w:val="24"/>
        </w:rPr>
      </w:pPr>
      <w:r w:rsidRPr="004327EB">
        <w:rPr>
          <w:rFonts w:ascii="Times New Roman" w:hAnsi="Times New Roman"/>
          <w:sz w:val="24"/>
          <w:szCs w:val="24"/>
        </w:rPr>
        <w:t>A beruházás során Tokaj esetében megvalósul Tokaj, Bodrog parti</w:t>
      </w:r>
      <w:r>
        <w:rPr>
          <w:rFonts w:ascii="Times New Roman" w:hAnsi="Times New Roman"/>
          <w:sz w:val="24"/>
          <w:szCs w:val="24"/>
        </w:rPr>
        <w:t xml:space="preserve"> </w:t>
      </w:r>
      <w:r w:rsidRPr="004327EB">
        <w:rPr>
          <w:rFonts w:ascii="Times New Roman" w:hAnsi="Times New Roman"/>
          <w:sz w:val="24"/>
          <w:szCs w:val="24"/>
        </w:rPr>
        <w:t>sétány kialakítása hrsz: 600/6 600/9 600/19,</w:t>
      </w:r>
      <w:r>
        <w:rPr>
          <w:rFonts w:ascii="Times New Roman" w:hAnsi="Times New Roman"/>
          <w:sz w:val="24"/>
          <w:szCs w:val="24"/>
        </w:rPr>
        <w:t xml:space="preserve"> valamint </w:t>
      </w:r>
      <w:r w:rsidR="008D3675">
        <w:rPr>
          <w:rFonts w:ascii="Times New Roman" w:hAnsi="Times New Roman"/>
          <w:sz w:val="24"/>
          <w:szCs w:val="24"/>
        </w:rPr>
        <w:t xml:space="preserve">a </w:t>
      </w:r>
      <w:r w:rsidR="008D3675" w:rsidRPr="008D3675">
        <w:rPr>
          <w:rFonts w:ascii="Times New Roman" w:hAnsi="Times New Roman"/>
          <w:sz w:val="24"/>
          <w:szCs w:val="24"/>
        </w:rPr>
        <w:t xml:space="preserve">Belvárosi sétáló utca egységes szerkezetű átépítése (főtér-főutca, Dózsa György utca és Zákó köz rekonstrukciója), - 19 főutcai ház közterületre néző homlokzatának rekonstrukciója. </w:t>
      </w:r>
      <w:r>
        <w:rPr>
          <w:rFonts w:ascii="Times New Roman" w:hAnsi="Times New Roman"/>
          <w:sz w:val="24"/>
          <w:szCs w:val="24"/>
        </w:rPr>
        <w:t xml:space="preserve">Sétáló utca homlokzatainak felújítása: </w:t>
      </w:r>
      <w:r w:rsidRPr="004327EB">
        <w:rPr>
          <w:rFonts w:ascii="Times New Roman" w:hAnsi="Times New Roman"/>
          <w:sz w:val="24"/>
          <w:szCs w:val="24"/>
        </w:rPr>
        <w:t>Főtér (hrsz:1,2), Főutca (Bethlen Gábor és Rákóczi utcák egy szakasza hrsz 44, 266); Dózsa György</w:t>
      </w:r>
      <w:r>
        <w:rPr>
          <w:rFonts w:ascii="Times New Roman" w:hAnsi="Times New Roman"/>
          <w:sz w:val="24"/>
          <w:szCs w:val="24"/>
        </w:rPr>
        <w:t xml:space="preserve"> </w:t>
      </w:r>
      <w:r w:rsidRPr="004327EB">
        <w:rPr>
          <w:rFonts w:ascii="Times New Roman" w:hAnsi="Times New Roman"/>
          <w:sz w:val="24"/>
          <w:szCs w:val="24"/>
        </w:rPr>
        <w:t>utca (hrsz: 138), Zákó köz (hrsz: 309)</w:t>
      </w:r>
      <w:r w:rsidRPr="004327EB">
        <w:t xml:space="preserve"> </w:t>
      </w:r>
      <w:r w:rsidRPr="004327EB">
        <w:rPr>
          <w:rFonts w:ascii="Times New Roman" w:hAnsi="Times New Roman"/>
          <w:sz w:val="24"/>
          <w:szCs w:val="24"/>
        </w:rPr>
        <w:t>valamint a Bormúzeum telephelyén (jelenlegi Tourinform Iroda) látogatóközpont kialakítása valósul meg.</w:t>
      </w:r>
    </w:p>
    <w:p w14:paraId="04010199" w14:textId="303E497F" w:rsidR="00AF76CB" w:rsidRDefault="00AF76CB" w:rsidP="001D2C2A">
      <w:pPr>
        <w:jc w:val="both"/>
        <w:rPr>
          <w:rFonts w:ascii="Times New Roman" w:hAnsi="Times New Roman"/>
          <w:sz w:val="24"/>
          <w:szCs w:val="24"/>
        </w:rPr>
      </w:pPr>
    </w:p>
    <w:p w14:paraId="609667A6" w14:textId="27F0E9E4" w:rsidR="005969D0" w:rsidRDefault="005969D0" w:rsidP="001D2C2A">
      <w:pPr>
        <w:jc w:val="both"/>
        <w:rPr>
          <w:rFonts w:ascii="Times New Roman" w:hAnsi="Times New Roman"/>
          <w:sz w:val="24"/>
          <w:szCs w:val="24"/>
        </w:rPr>
      </w:pPr>
      <w:r w:rsidRPr="005969D0">
        <w:drawing>
          <wp:inline distT="0" distB="0" distL="0" distR="0" wp14:anchorId="1874311D" wp14:editId="10C1383E">
            <wp:extent cx="6838950" cy="61658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8950" cy="616585"/>
                    </a:xfrm>
                    <a:prstGeom prst="rect">
                      <a:avLst/>
                    </a:prstGeom>
                    <a:noFill/>
                    <a:ln>
                      <a:noFill/>
                    </a:ln>
                  </pic:spPr>
                </pic:pic>
              </a:graphicData>
            </a:graphic>
          </wp:inline>
        </w:drawing>
      </w:r>
    </w:p>
    <w:p w14:paraId="4CF1B22E" w14:textId="77777777" w:rsidR="005969D0" w:rsidRPr="00AF76CB" w:rsidRDefault="005969D0" w:rsidP="001D2C2A">
      <w:pPr>
        <w:jc w:val="both"/>
        <w:rPr>
          <w:rFonts w:ascii="Times New Roman" w:hAnsi="Times New Roman"/>
          <w:sz w:val="24"/>
          <w:szCs w:val="24"/>
        </w:rPr>
      </w:pPr>
    </w:p>
    <w:sectPr w:rsidR="005969D0" w:rsidRPr="00AF76CB" w:rsidSect="00C12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083149"/>
    <w:multiLevelType w:val="hybridMultilevel"/>
    <w:tmpl w:val="14685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F105A2"/>
    <w:multiLevelType w:val="multilevel"/>
    <w:tmpl w:val="86A02818"/>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B81242B"/>
    <w:multiLevelType w:val="hybridMultilevel"/>
    <w:tmpl w:val="89DA03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686CE7"/>
    <w:multiLevelType w:val="hybridMultilevel"/>
    <w:tmpl w:val="572C91F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D1630B0"/>
    <w:multiLevelType w:val="hybridMultilevel"/>
    <w:tmpl w:val="F50441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4A645B4"/>
    <w:multiLevelType w:val="hybridMultilevel"/>
    <w:tmpl w:val="8E7E1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6014C9"/>
    <w:multiLevelType w:val="hybridMultilevel"/>
    <w:tmpl w:val="6928ADAA"/>
    <w:lvl w:ilvl="0" w:tplc="A4C45DA8">
      <w:numFmt w:val="bullet"/>
      <w:lvlText w:val="-"/>
      <w:lvlJc w:val="left"/>
      <w:pPr>
        <w:ind w:left="720" w:hanging="360"/>
      </w:pPr>
      <w:rPr>
        <w:rFonts w:ascii="ArialMT" w:eastAsia="Calibri" w:hAnsi="ArialMT" w:cs="Arial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2440DF3"/>
    <w:multiLevelType w:val="hybridMultilevel"/>
    <w:tmpl w:val="B0B8F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A1B5EF0"/>
    <w:multiLevelType w:val="hybridMultilevel"/>
    <w:tmpl w:val="E4DAFD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DE835B1"/>
    <w:multiLevelType w:val="hybridMultilevel"/>
    <w:tmpl w:val="1EA62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343249F"/>
    <w:multiLevelType w:val="hybridMultilevel"/>
    <w:tmpl w:val="275A16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64A5837"/>
    <w:multiLevelType w:val="hybridMultilevel"/>
    <w:tmpl w:val="F83CDA60"/>
    <w:lvl w:ilvl="0" w:tplc="637272D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745698A"/>
    <w:multiLevelType w:val="multilevel"/>
    <w:tmpl w:val="422CEE9A"/>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9A61E59"/>
    <w:multiLevelType w:val="hybridMultilevel"/>
    <w:tmpl w:val="FD8A2AFE"/>
    <w:lvl w:ilvl="0" w:tplc="A4C45DA8">
      <w:numFmt w:val="bullet"/>
      <w:lvlText w:val="-"/>
      <w:lvlJc w:val="left"/>
      <w:pPr>
        <w:ind w:left="720" w:hanging="360"/>
      </w:pPr>
      <w:rPr>
        <w:rFonts w:ascii="ArialMT" w:eastAsia="Calibri" w:hAnsi="ArialMT" w:cs="Arial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9"/>
  </w:num>
  <w:num w:numId="5">
    <w:abstractNumId w:val="10"/>
  </w:num>
  <w:num w:numId="6">
    <w:abstractNumId w:val="7"/>
  </w:num>
  <w:num w:numId="7">
    <w:abstractNumId w:val="14"/>
  </w:num>
  <w:num w:numId="8">
    <w:abstractNumId w:val="3"/>
  </w:num>
  <w:num w:numId="9">
    <w:abstractNumId w:val="8"/>
  </w:num>
  <w:num w:numId="10">
    <w:abstractNumId w:val="6"/>
  </w:num>
  <w:num w:numId="11">
    <w:abstractNumId w:val="12"/>
  </w:num>
  <w:num w:numId="12">
    <w:abstractNumId w:val="1"/>
  </w:num>
  <w:num w:numId="13">
    <w:abstractNumId w:val="1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04"/>
    <w:rsid w:val="00095EE3"/>
    <w:rsid w:val="001D2C2A"/>
    <w:rsid w:val="001D5FA7"/>
    <w:rsid w:val="00277C34"/>
    <w:rsid w:val="004327EB"/>
    <w:rsid w:val="00432DE2"/>
    <w:rsid w:val="00574273"/>
    <w:rsid w:val="005969D0"/>
    <w:rsid w:val="005E4461"/>
    <w:rsid w:val="00780E04"/>
    <w:rsid w:val="0082710A"/>
    <w:rsid w:val="008779AD"/>
    <w:rsid w:val="008D3675"/>
    <w:rsid w:val="0098565E"/>
    <w:rsid w:val="00A2152E"/>
    <w:rsid w:val="00AF76CB"/>
    <w:rsid w:val="00B56F74"/>
    <w:rsid w:val="00C126CE"/>
    <w:rsid w:val="00C7681F"/>
    <w:rsid w:val="00E14713"/>
    <w:rsid w:val="00E249C0"/>
    <w:rsid w:val="00E53EDF"/>
    <w:rsid w:val="00E66E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35D8"/>
  <w15:chartTrackingRefBased/>
  <w15:docId w15:val="{79F660F1-A261-498F-9F18-B385CE75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82710A"/>
    <w:pPr>
      <w:spacing w:after="0" w:line="240" w:lineRule="auto"/>
    </w:pPr>
    <w:rPr>
      <w:rFonts w:ascii="Calibri" w:hAnsi="Calibri" w:cs="Times New Roman"/>
    </w:rPr>
  </w:style>
  <w:style w:type="paragraph" w:styleId="Cmsor1">
    <w:name w:val="heading 1"/>
    <w:basedOn w:val="Norml"/>
    <w:link w:val="Cmsor1Char"/>
    <w:uiPriority w:val="9"/>
    <w:qFormat/>
    <w:rsid w:val="0082710A"/>
    <w:pPr>
      <w:keepNext/>
      <w:jc w:val="center"/>
      <w:outlineLvl w:val="0"/>
    </w:pPr>
    <w:rPr>
      <w:rFonts w:ascii="Times New Roman" w:eastAsia="Times New Roman" w:hAnsi="Times New Roman"/>
      <w:b/>
      <w:bCs/>
      <w:spacing w:val="80"/>
      <w:kern w:val="36"/>
      <w:sz w:val="36"/>
      <w:szCs w:val="3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2710A"/>
    <w:rPr>
      <w:rFonts w:ascii="Times New Roman" w:eastAsia="Times New Roman" w:hAnsi="Times New Roman" w:cs="Times New Roman"/>
      <w:b/>
      <w:bCs/>
      <w:spacing w:val="80"/>
      <w:kern w:val="36"/>
      <w:sz w:val="36"/>
      <w:szCs w:val="36"/>
      <w:lang w:eastAsia="ar-SA"/>
    </w:rPr>
  </w:style>
  <w:style w:type="paragraph" w:styleId="Szvegtrzs">
    <w:name w:val="Body Text"/>
    <w:basedOn w:val="Norml"/>
    <w:link w:val="SzvegtrzsChar"/>
    <w:uiPriority w:val="99"/>
    <w:semiHidden/>
    <w:unhideWhenUsed/>
    <w:rsid w:val="0082710A"/>
    <w:pPr>
      <w:overflowPunct w:val="0"/>
      <w:autoSpaceDE w:val="0"/>
      <w:autoSpaceDN w:val="0"/>
      <w:adjustRightInd w:val="0"/>
      <w:spacing w:after="120"/>
    </w:pPr>
    <w:rPr>
      <w:rFonts w:ascii="Times New Roman" w:eastAsia="Times New Roman" w:hAnsi="Times New Roman"/>
      <w:sz w:val="28"/>
      <w:szCs w:val="20"/>
      <w:lang w:eastAsia="hu-HU"/>
    </w:rPr>
  </w:style>
  <w:style w:type="character" w:customStyle="1" w:styleId="SzvegtrzsChar">
    <w:name w:val="Szövegtörzs Char"/>
    <w:basedOn w:val="Bekezdsalapbettpusa"/>
    <w:link w:val="Szvegtrzs"/>
    <w:uiPriority w:val="99"/>
    <w:semiHidden/>
    <w:rsid w:val="0082710A"/>
    <w:rPr>
      <w:rFonts w:ascii="Times New Roman" w:eastAsia="Times New Roman" w:hAnsi="Times New Roman" w:cs="Times New Roman"/>
      <w:sz w:val="28"/>
      <w:szCs w:val="20"/>
      <w:lang w:eastAsia="hu-HU"/>
    </w:rPr>
  </w:style>
  <w:style w:type="paragraph" w:styleId="Listaszerbekezds">
    <w:name w:val="List Paragraph"/>
    <w:basedOn w:val="Norml"/>
    <w:uiPriority w:val="34"/>
    <w:qFormat/>
    <w:rsid w:val="0082710A"/>
    <w:pPr>
      <w:spacing w:after="160" w:line="259" w:lineRule="auto"/>
      <w:ind w:left="720"/>
      <w:contextualSpacing/>
    </w:pPr>
    <w:rPr>
      <w:rFonts w:asciiTheme="minorHAnsi" w:hAnsiTheme="minorHAnsi" w:cstheme="minorBidi"/>
    </w:rPr>
  </w:style>
  <w:style w:type="paragraph" w:customStyle="1" w:styleId="Default">
    <w:name w:val="Default"/>
    <w:rsid w:val="00E53EDF"/>
    <w:pPr>
      <w:autoSpaceDE w:val="0"/>
      <w:autoSpaceDN w:val="0"/>
      <w:adjustRightInd w:val="0"/>
      <w:spacing w:after="0" w:line="240" w:lineRule="auto"/>
    </w:pPr>
    <w:rPr>
      <w:rFonts w:ascii="Arial" w:hAnsi="Arial" w:cs="Arial"/>
      <w:color w:val="000000"/>
      <w:sz w:val="24"/>
      <w:szCs w:val="24"/>
    </w:rPr>
  </w:style>
  <w:style w:type="table" w:styleId="Rcsostblzat">
    <w:name w:val="Table Grid"/>
    <w:basedOn w:val="Normltblzat"/>
    <w:uiPriority w:val="39"/>
    <w:rsid w:val="00E1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F76CB"/>
    <w:pPr>
      <w:spacing w:after="0" w:line="240" w:lineRule="auto"/>
    </w:pPr>
  </w:style>
  <w:style w:type="paragraph" w:customStyle="1" w:styleId="Standard">
    <w:name w:val="Standard"/>
    <w:rsid w:val="00AF76CB"/>
    <w:pPr>
      <w:suppressAutoHyphens/>
      <w:autoSpaceDN w:val="0"/>
      <w:spacing w:after="200" w:line="276" w:lineRule="auto"/>
      <w:textAlignment w:val="baseline"/>
    </w:pPr>
    <w:rPr>
      <w:rFonts w:ascii="Calibri" w:eastAsia="SimSun" w:hAnsi="Calibri" w:cs="Tahoma"/>
      <w:kern w:val="3"/>
    </w:rPr>
  </w:style>
  <w:style w:type="paragraph" w:customStyle="1" w:styleId="Textbody">
    <w:name w:val="Text body"/>
    <w:basedOn w:val="Standard"/>
    <w:rsid w:val="00AF76CB"/>
    <w:pPr>
      <w:spacing w:after="120"/>
    </w:pPr>
  </w:style>
  <w:style w:type="paragraph" w:customStyle="1" w:styleId="Tblzattartalom">
    <w:name w:val="Táblázattartalom"/>
    <w:basedOn w:val="Norml"/>
    <w:rsid w:val="00AF76CB"/>
    <w:pPr>
      <w:widowControl w:val="0"/>
      <w:suppressLineNumbers/>
      <w:suppressAutoHyphens/>
      <w:autoSpaceDN w:val="0"/>
    </w:pPr>
    <w:rPr>
      <w:rFonts w:ascii="Times New Roman" w:eastAsia="Andale Sans UI" w:hAnsi="Times New Roman"/>
      <w:kern w:val="3"/>
      <w:sz w:val="24"/>
      <w:szCs w:val="24"/>
      <w:lang w:eastAsia="ar-SA"/>
    </w:rPr>
  </w:style>
  <w:style w:type="paragraph" w:customStyle="1" w:styleId="Kerettartalom">
    <w:name w:val="Kerettartalom"/>
    <w:basedOn w:val="Szvegtrzs"/>
    <w:rsid w:val="00AF76CB"/>
    <w:pPr>
      <w:widowControl w:val="0"/>
      <w:suppressAutoHyphens/>
      <w:overflowPunct/>
      <w:autoSpaceDE/>
      <w:adjustRightInd/>
    </w:pPr>
    <w:rPr>
      <w:rFonts w:eastAsia="SimSun" w:cs="Mangal"/>
      <w:kern w:val="3"/>
      <w:sz w:val="24"/>
      <w:szCs w:val="24"/>
      <w:lang w:eastAsia="hi-IN" w:bidi="hi-IN"/>
    </w:rPr>
  </w:style>
  <w:style w:type="paragraph" w:customStyle="1" w:styleId="Framecontents">
    <w:name w:val="Frame contents"/>
    <w:basedOn w:val="Textbody"/>
    <w:rsid w:val="00AF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6443">
      <w:bodyDiv w:val="1"/>
      <w:marLeft w:val="0"/>
      <w:marRight w:val="0"/>
      <w:marTop w:val="0"/>
      <w:marBottom w:val="0"/>
      <w:divBdr>
        <w:top w:val="none" w:sz="0" w:space="0" w:color="auto"/>
        <w:left w:val="none" w:sz="0" w:space="0" w:color="auto"/>
        <w:bottom w:val="none" w:sz="0" w:space="0" w:color="auto"/>
        <w:right w:val="none" w:sz="0" w:space="0" w:color="auto"/>
      </w:divBdr>
    </w:div>
    <w:div w:id="811868227">
      <w:bodyDiv w:val="1"/>
      <w:marLeft w:val="0"/>
      <w:marRight w:val="0"/>
      <w:marTop w:val="0"/>
      <w:marBottom w:val="0"/>
      <w:divBdr>
        <w:top w:val="none" w:sz="0" w:space="0" w:color="auto"/>
        <w:left w:val="none" w:sz="0" w:space="0" w:color="auto"/>
        <w:bottom w:val="none" w:sz="0" w:space="0" w:color="auto"/>
        <w:right w:val="none" w:sz="0" w:space="0" w:color="auto"/>
      </w:divBdr>
    </w:div>
    <w:div w:id="1080523233">
      <w:bodyDiv w:val="1"/>
      <w:marLeft w:val="0"/>
      <w:marRight w:val="0"/>
      <w:marTop w:val="0"/>
      <w:marBottom w:val="0"/>
      <w:divBdr>
        <w:top w:val="none" w:sz="0" w:space="0" w:color="auto"/>
        <w:left w:val="none" w:sz="0" w:space="0" w:color="auto"/>
        <w:bottom w:val="none" w:sz="0" w:space="0" w:color="auto"/>
        <w:right w:val="none" w:sz="0" w:space="0" w:color="auto"/>
      </w:divBdr>
    </w:div>
    <w:div w:id="1425952413">
      <w:bodyDiv w:val="1"/>
      <w:marLeft w:val="0"/>
      <w:marRight w:val="0"/>
      <w:marTop w:val="0"/>
      <w:marBottom w:val="0"/>
      <w:divBdr>
        <w:top w:val="none" w:sz="0" w:space="0" w:color="auto"/>
        <w:left w:val="none" w:sz="0" w:space="0" w:color="auto"/>
        <w:bottom w:val="none" w:sz="0" w:space="0" w:color="auto"/>
        <w:right w:val="none" w:sz="0" w:space="0" w:color="auto"/>
      </w:divBdr>
    </w:div>
    <w:div w:id="1614360060">
      <w:bodyDiv w:val="1"/>
      <w:marLeft w:val="0"/>
      <w:marRight w:val="0"/>
      <w:marTop w:val="0"/>
      <w:marBottom w:val="0"/>
      <w:divBdr>
        <w:top w:val="none" w:sz="0" w:space="0" w:color="auto"/>
        <w:left w:val="none" w:sz="0" w:space="0" w:color="auto"/>
        <w:bottom w:val="none" w:sz="0" w:space="0" w:color="auto"/>
        <w:right w:val="none" w:sz="0" w:space="0" w:color="auto"/>
      </w:divBdr>
    </w:div>
    <w:div w:id="1666085756">
      <w:bodyDiv w:val="1"/>
      <w:marLeft w:val="0"/>
      <w:marRight w:val="0"/>
      <w:marTop w:val="0"/>
      <w:marBottom w:val="0"/>
      <w:divBdr>
        <w:top w:val="none" w:sz="0" w:space="0" w:color="auto"/>
        <w:left w:val="none" w:sz="0" w:space="0" w:color="auto"/>
        <w:bottom w:val="none" w:sz="0" w:space="0" w:color="auto"/>
        <w:right w:val="none" w:sz="0" w:space="0" w:color="auto"/>
      </w:divBdr>
    </w:div>
    <w:div w:id="1960452526">
      <w:bodyDiv w:val="1"/>
      <w:marLeft w:val="0"/>
      <w:marRight w:val="0"/>
      <w:marTop w:val="0"/>
      <w:marBottom w:val="0"/>
      <w:divBdr>
        <w:top w:val="none" w:sz="0" w:space="0" w:color="auto"/>
        <w:left w:val="none" w:sz="0" w:space="0" w:color="auto"/>
        <w:bottom w:val="none" w:sz="0" w:space="0" w:color="auto"/>
        <w:right w:val="none" w:sz="0" w:space="0" w:color="auto"/>
      </w:divBdr>
    </w:div>
    <w:div w:id="20274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1721</Words>
  <Characters>11879</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Város Tokaj</dc:creator>
  <cp:keywords/>
  <dc:description/>
  <cp:lastModifiedBy>Eszter Kovacs</cp:lastModifiedBy>
  <cp:revision>10</cp:revision>
  <dcterms:created xsi:type="dcterms:W3CDTF">2019-10-10T09:56:00Z</dcterms:created>
  <dcterms:modified xsi:type="dcterms:W3CDTF">2019-10-10T10:05:00Z</dcterms:modified>
</cp:coreProperties>
</file>