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olors1.xml" ContentType="application/vnd.ms-office.chartcolorstyle+xml"/>
  <Override PartName="/word/charts/style1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E33" w:rsidRPr="00BC2E33" w:rsidRDefault="00BC2E33" w:rsidP="00BC2E33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BC2E33">
        <w:rPr>
          <w:rFonts w:ascii="Arial" w:eastAsia="Calibri" w:hAnsi="Arial" w:cs="Arial"/>
          <w:b/>
          <w:i/>
          <w:sz w:val="32"/>
          <w:szCs w:val="32"/>
        </w:rPr>
        <w:t>Tokaji Egészségfejlesztési Központ Nonprofit Kft. tájékoztatója a</w:t>
      </w:r>
      <w:r w:rsidRPr="00BC2E33">
        <w:rPr>
          <w:rFonts w:ascii="Arial" w:eastAsia="Calibri" w:hAnsi="Arial" w:cs="Arial"/>
          <w:b/>
          <w:sz w:val="32"/>
          <w:szCs w:val="32"/>
        </w:rPr>
        <w:t xml:space="preserve"> </w:t>
      </w:r>
    </w:p>
    <w:p w:rsidR="00BC2E33" w:rsidRPr="00BC2E33" w:rsidRDefault="00BC2E33" w:rsidP="00BC2E33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:rsidR="00BC2E33" w:rsidRPr="00BC2E33" w:rsidRDefault="00C027FF" w:rsidP="00BC2E33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2017. évi működéséről.</w:t>
      </w:r>
    </w:p>
    <w:p w:rsidR="00BC2E33" w:rsidRPr="00BC2E33" w:rsidRDefault="00BC2E33" w:rsidP="00BC2E33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:rsidR="00BC2E33" w:rsidRPr="00BC2E33" w:rsidRDefault="00BC2E33" w:rsidP="00BC2E33">
      <w:pPr>
        <w:spacing w:after="0" w:line="240" w:lineRule="auto"/>
        <w:jc w:val="center"/>
        <w:rPr>
          <w:rFonts w:ascii="Arial" w:eastAsia="Calibri" w:hAnsi="Arial" w:cs="Arial"/>
          <w:sz w:val="32"/>
          <w:szCs w:val="32"/>
        </w:rPr>
      </w:pPr>
      <w:r w:rsidRPr="00BC2E33">
        <w:rPr>
          <w:rFonts w:ascii="Arial" w:eastAsia="Calibri" w:hAnsi="Arial" w:cs="Arial"/>
          <w:sz w:val="32"/>
          <w:szCs w:val="32"/>
        </w:rPr>
        <w:t xml:space="preserve">2018. február 08. </w:t>
      </w:r>
    </w:p>
    <w:p w:rsidR="00F135AB" w:rsidRDefault="00F135AB"/>
    <w:p w:rsidR="001A7F4C" w:rsidRDefault="001A7F4C" w:rsidP="001A7F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Az Önkormányzat által megkötött Feladatátadási szerződésben foglaltaknak megfelelően 2017. évben is biztosítottuk a hozzánk forduló betegek színvonalas ellátását. A gyógyításhoz szükséges feltétel egyre magasabb ráfordítás mellett valósíthatók meg, melyet nem követ az OEP finanszírozás mértéke.  </w:t>
      </w:r>
    </w:p>
    <w:p w:rsidR="001A7F4C" w:rsidRDefault="001A7F4C" w:rsidP="001A7F4C">
      <w:pPr>
        <w:jc w:val="both"/>
        <w:rPr>
          <w:sz w:val="28"/>
          <w:szCs w:val="28"/>
        </w:rPr>
      </w:pPr>
    </w:p>
    <w:p w:rsidR="001A7F4C" w:rsidRDefault="001A7F4C" w:rsidP="001A7F4C">
      <w:pPr>
        <w:pStyle w:val="Listaszerbekezds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 2017. évi működés főbb jellemzői</w:t>
      </w:r>
    </w:p>
    <w:p w:rsidR="001A7F4C" w:rsidRDefault="001A7F4C" w:rsidP="001A7F4C">
      <w:pPr>
        <w:jc w:val="both"/>
        <w:rPr>
          <w:sz w:val="28"/>
          <w:szCs w:val="28"/>
        </w:rPr>
      </w:pPr>
      <w:r>
        <w:rPr>
          <w:sz w:val="28"/>
          <w:szCs w:val="28"/>
        </w:rPr>
        <w:t>A Dombi Sámuel Kistérségi Egészségközpont szakmai és gazdálkodási tevékenységét konkrétan befolyásoló tényezők közül kiemeljük az alábbiakat:</w:t>
      </w:r>
    </w:p>
    <w:p w:rsidR="001A7F4C" w:rsidRDefault="001A7F4C" w:rsidP="001A7F4C">
      <w:pPr>
        <w:pStyle w:val="Listaszerbekezds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járóbeteg szakellátás finanszírozási rendszerében 2017. évre vonatkozóan is megmaradt a TVK (Teljesítmény Volumen Korlát) rendszere, havi leosztás alapján. </w:t>
      </w:r>
    </w:p>
    <w:p w:rsidR="001A7F4C" w:rsidRDefault="001A7F4C" w:rsidP="001A7F4C">
      <w:pPr>
        <w:pStyle w:val="Listaszerbekezds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2017. január 1.-től kezdődően a német pont/Ft szorzóértéke 1,85 Ft/pontra emelkedett 1,80 Ft/pontról. </w:t>
      </w:r>
      <w:r w:rsidR="007B0DDE">
        <w:rPr>
          <w:sz w:val="28"/>
          <w:szCs w:val="28"/>
        </w:rPr>
        <w:t xml:space="preserve">2017. november 1.-től kezdődően ismét emelkedés volt a finanszírozási értékben – 1,98 Ft/pontra – de ez az emelkedés már a 2018. évi gazdálkodást érinti. </w:t>
      </w:r>
    </w:p>
    <w:p w:rsidR="007B0DDE" w:rsidRDefault="007B0DDE" w:rsidP="001A7F4C">
      <w:pPr>
        <w:pStyle w:val="Listaszerbekezds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degresszív finanszírozás során a TVK 0-10 %-os túllépése esetén az alapdíj 30 %-ával finanszírozzák a teljesítmény túllépést, 10-20 % túllépése esetén 20 % az alappont értéke. </w:t>
      </w:r>
    </w:p>
    <w:p w:rsidR="007B0DDE" w:rsidRDefault="007B0DDE" w:rsidP="001A7F4C">
      <w:pPr>
        <w:pStyle w:val="Listaszerbekezds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2016. augusztus 1-től a járóbeteg TVK 8,33 %-kal csökkent</w:t>
      </w:r>
      <w:r w:rsidR="00AC12E8">
        <w:rPr>
          <w:sz w:val="28"/>
          <w:szCs w:val="28"/>
        </w:rPr>
        <w:t xml:space="preserve">, mely csökkenés 2017 évben sem módosult. </w:t>
      </w:r>
    </w:p>
    <w:p w:rsidR="00AC12E8" w:rsidRDefault="00AC12E8" w:rsidP="001A7F4C">
      <w:pPr>
        <w:pStyle w:val="Listaszerbekezds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laboratóriumnál szintén 8,33 %-kal csökkent a TVK nagysága, valamint változatlan a lebegtetett Ft/pont érték, ami messze nem fedezi a felmerülő költségeket.  </w:t>
      </w:r>
    </w:p>
    <w:p w:rsidR="00280855" w:rsidRDefault="00280855" w:rsidP="001A7F4C">
      <w:pPr>
        <w:pStyle w:val="Listaszerbekezds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kormányzat részéről 2014. évben megindult az ágazati béremelés az orvosok és szakdolgozók részére. Ez érintette a intézményünk szakellátásában dolgozó szakdolgozókat, valamint a védőnők és az iskola egészségügy is részesült ágazati béremelésben. Ezt a bértámogatást 2017. évben is megkaptuk a </w:t>
      </w:r>
      <w:proofErr w:type="spellStart"/>
      <w:r>
        <w:rPr>
          <w:sz w:val="28"/>
          <w:szCs w:val="28"/>
        </w:rPr>
        <w:t>NEAK-tól</w:t>
      </w:r>
      <w:proofErr w:type="spellEnd"/>
      <w:r>
        <w:rPr>
          <w:sz w:val="28"/>
          <w:szCs w:val="28"/>
        </w:rPr>
        <w:t xml:space="preserve">. </w:t>
      </w:r>
    </w:p>
    <w:p w:rsidR="00280855" w:rsidRPr="00970614" w:rsidRDefault="00280855" w:rsidP="001A7F4C">
      <w:pPr>
        <w:pStyle w:val="Listaszerbekezds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 NEAK által biztosított bérnövekmény, illetőleg illetménykiegészítés nem érintette az igazgatás, valamint a járóbeteg ellátáson a nem egészségügyi végzettségű és nem egészségügyi feladatokat ellátókat. A </w:t>
      </w:r>
      <w:r w:rsidR="00494957">
        <w:rPr>
          <w:sz w:val="28"/>
          <w:szCs w:val="28"/>
        </w:rPr>
        <w:t xml:space="preserve">meglévő feszültség enyhítésére 1 fő </w:t>
      </w:r>
      <w:r>
        <w:rPr>
          <w:sz w:val="28"/>
          <w:szCs w:val="28"/>
        </w:rPr>
        <w:t xml:space="preserve">felsőfokú végzettségűek </w:t>
      </w:r>
      <w:r w:rsidRPr="00970614">
        <w:rPr>
          <w:sz w:val="28"/>
          <w:szCs w:val="28"/>
        </w:rPr>
        <w:t xml:space="preserve">részére 20.000,- Ft/hó/fő béremelést biztosítottunk 2017. január 1.-től saját forrásból. </w:t>
      </w:r>
    </w:p>
    <w:p w:rsidR="00280855" w:rsidRDefault="00280855" w:rsidP="001A7F4C">
      <w:pPr>
        <w:pStyle w:val="Listaszerbekezds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2017. novembertől újabb béremelés történt a szakdolgozók részére a NEAK által, ezt külön soron „béremelés fedezeteként” biztosította a NEAK a Társaságunk részére. </w:t>
      </w:r>
    </w:p>
    <w:p w:rsidR="009772E9" w:rsidRDefault="009772E9" w:rsidP="001A7F4C">
      <w:pPr>
        <w:pStyle w:val="Listaszerbekezds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2017. </w:t>
      </w:r>
      <w:r w:rsidR="0016599D">
        <w:rPr>
          <w:sz w:val="28"/>
          <w:szCs w:val="28"/>
        </w:rPr>
        <w:t xml:space="preserve">június </w:t>
      </w:r>
      <w:r>
        <w:rPr>
          <w:sz w:val="28"/>
          <w:szCs w:val="28"/>
        </w:rPr>
        <w:t xml:space="preserve">hónaptól kezdődően átlagosan </w:t>
      </w:r>
      <w:r w:rsidR="0016599D">
        <w:rPr>
          <w:sz w:val="28"/>
          <w:szCs w:val="28"/>
        </w:rPr>
        <w:t xml:space="preserve">20%- </w:t>
      </w:r>
      <w:proofErr w:type="spellStart"/>
      <w:r w:rsidR="0016599D">
        <w:rPr>
          <w:sz w:val="28"/>
          <w:szCs w:val="28"/>
        </w:rPr>
        <w:t>os</w:t>
      </w:r>
      <w:proofErr w:type="spellEnd"/>
      <w:r w:rsidR="0016599D">
        <w:rPr>
          <w:sz w:val="28"/>
          <w:szCs w:val="28"/>
        </w:rPr>
        <w:t xml:space="preserve"> </w:t>
      </w:r>
      <w:r w:rsidR="0080513C">
        <w:rPr>
          <w:sz w:val="28"/>
          <w:szCs w:val="28"/>
        </w:rPr>
        <w:t xml:space="preserve">óradíj emelkedés történt a szakorvosoknál. </w:t>
      </w:r>
    </w:p>
    <w:p w:rsidR="00280855" w:rsidRDefault="00AA5E8E" w:rsidP="001A7F4C">
      <w:pPr>
        <w:pStyle w:val="Listaszerbekezds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Az Egészségfejlesztési Iroda működésének támogatása 2017</w:t>
      </w:r>
      <w:r w:rsidR="002756A2">
        <w:rPr>
          <w:sz w:val="28"/>
          <w:szCs w:val="28"/>
        </w:rPr>
        <w:t xml:space="preserve">. évben is jelentősen késett. A programok finanszírozását Társaságunk saját forrásból biztosította december hónapig, </w:t>
      </w:r>
      <w:r w:rsidR="002756A2" w:rsidRPr="002756A2">
        <w:rPr>
          <w:sz w:val="28"/>
          <w:szCs w:val="28"/>
        </w:rPr>
        <w:t>mert december 12-én érkezett</w:t>
      </w:r>
      <w:r w:rsidR="002756A2">
        <w:rPr>
          <w:sz w:val="28"/>
          <w:szCs w:val="28"/>
        </w:rPr>
        <w:t xml:space="preserve"> meg az egész éves finanszírozás!</w:t>
      </w:r>
      <w:r w:rsidR="00C9051C">
        <w:rPr>
          <w:sz w:val="28"/>
          <w:szCs w:val="28"/>
        </w:rPr>
        <w:t xml:space="preserve"> Ezen időpontig társaságunk saját forrásból biztosította a programok lebonyolítását.</w:t>
      </w:r>
    </w:p>
    <w:p w:rsidR="002756A2" w:rsidRPr="008B0B28" w:rsidRDefault="00494957" w:rsidP="002756A2">
      <w:pPr>
        <w:pStyle w:val="Listaszerbekezds"/>
        <w:numPr>
          <w:ilvl w:val="0"/>
          <w:numId w:val="2"/>
        </w:numPr>
        <w:jc w:val="both"/>
        <w:rPr>
          <w:sz w:val="28"/>
          <w:szCs w:val="28"/>
        </w:rPr>
      </w:pPr>
      <w:r w:rsidRPr="008B0B28">
        <w:rPr>
          <w:sz w:val="28"/>
          <w:szCs w:val="28"/>
        </w:rPr>
        <w:t xml:space="preserve">2017. június 2.-án </w:t>
      </w:r>
      <w:r w:rsidR="002756A2" w:rsidRPr="008B0B28">
        <w:rPr>
          <w:sz w:val="28"/>
          <w:szCs w:val="28"/>
        </w:rPr>
        <w:t>indult</w:t>
      </w:r>
      <w:r w:rsidRPr="008B0B28">
        <w:rPr>
          <w:sz w:val="28"/>
          <w:szCs w:val="28"/>
        </w:rPr>
        <w:t xml:space="preserve"> Társaságunknál </w:t>
      </w:r>
      <w:r w:rsidR="008B0B28" w:rsidRPr="008B0B28">
        <w:rPr>
          <w:sz w:val="28"/>
          <w:szCs w:val="28"/>
        </w:rPr>
        <w:t>az Állami Számvevőszék ellenőrzése.</w:t>
      </w:r>
      <w:r w:rsidR="002756A2" w:rsidRPr="008B0B28">
        <w:rPr>
          <w:sz w:val="28"/>
          <w:szCs w:val="28"/>
        </w:rPr>
        <w:t xml:space="preserve"> „Az önkormányzatok többségi tulajdonában lévő gazdasági társaságok gazdálkodásának ellenőrzése”</w:t>
      </w:r>
      <w:r w:rsidR="008B0B28">
        <w:rPr>
          <w:sz w:val="28"/>
          <w:szCs w:val="28"/>
        </w:rPr>
        <w:t xml:space="preserve"> célú vizsgálat 2013-2016. évekre vonatkozóan</w:t>
      </w:r>
      <w:r w:rsidR="002756A2" w:rsidRPr="008B0B28">
        <w:rPr>
          <w:sz w:val="28"/>
          <w:szCs w:val="28"/>
        </w:rPr>
        <w:t xml:space="preserve"> jelenleg is tart.</w:t>
      </w:r>
    </w:p>
    <w:p w:rsidR="002756A2" w:rsidRDefault="002756A2" w:rsidP="002756A2">
      <w:pPr>
        <w:ind w:left="360"/>
        <w:jc w:val="both"/>
        <w:rPr>
          <w:sz w:val="28"/>
          <w:szCs w:val="28"/>
          <w:highlight w:val="yellow"/>
        </w:rPr>
      </w:pPr>
    </w:p>
    <w:p w:rsidR="002756A2" w:rsidRDefault="002756A2" w:rsidP="007C192C">
      <w:pPr>
        <w:jc w:val="both"/>
        <w:rPr>
          <w:sz w:val="28"/>
          <w:szCs w:val="28"/>
        </w:rPr>
      </w:pPr>
      <w:r w:rsidRPr="007C192C">
        <w:rPr>
          <w:sz w:val="28"/>
          <w:szCs w:val="28"/>
        </w:rPr>
        <w:t xml:space="preserve">Összegezve 2017-ben is sikerült gyógyító munkánk magas színvonalát humán erőforrás tekintetében biztosítani, annak ellenére, hogy egyes szakmákban országosan szakemberhiány </w:t>
      </w:r>
      <w:r w:rsidR="007C192C">
        <w:rPr>
          <w:sz w:val="28"/>
          <w:szCs w:val="28"/>
        </w:rPr>
        <w:t xml:space="preserve">észlelhető. Intézményünk humán erőforrás vonzó hatása miatt érdemi orvoshiány az intézményünk keretei között nincs. </w:t>
      </w:r>
    </w:p>
    <w:p w:rsidR="007C192C" w:rsidRDefault="007C192C" w:rsidP="007C192C">
      <w:pPr>
        <w:jc w:val="both"/>
        <w:rPr>
          <w:sz w:val="28"/>
          <w:szCs w:val="28"/>
        </w:rPr>
      </w:pPr>
    </w:p>
    <w:p w:rsidR="007C192C" w:rsidRDefault="007C192C" w:rsidP="007C192C">
      <w:pPr>
        <w:pStyle w:val="Listaszerbekezds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7C192C">
        <w:rPr>
          <w:b/>
          <w:sz w:val="28"/>
          <w:szCs w:val="28"/>
        </w:rPr>
        <w:t>A feladatellátás értékelése</w:t>
      </w:r>
    </w:p>
    <w:p w:rsidR="007C192C" w:rsidRDefault="007C192C" w:rsidP="007C192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Járóbeteg szakellátás</w:t>
      </w:r>
    </w:p>
    <w:p w:rsidR="00361C2D" w:rsidRDefault="00361C2D" w:rsidP="007C19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járóbeteg szakellátás kapacitása 2017 évben nem változott. Összességében továbbra is </w:t>
      </w:r>
      <w:r w:rsidR="00A1547C">
        <w:rPr>
          <w:sz w:val="28"/>
          <w:szCs w:val="28"/>
        </w:rPr>
        <w:t xml:space="preserve">241 </w:t>
      </w:r>
      <w:r>
        <w:rPr>
          <w:sz w:val="28"/>
          <w:szCs w:val="28"/>
        </w:rPr>
        <w:t>szakorvosi óra/h</w:t>
      </w:r>
      <w:r w:rsidR="00A1547C">
        <w:rPr>
          <w:sz w:val="28"/>
          <w:szCs w:val="28"/>
        </w:rPr>
        <w:t>é</w:t>
      </w:r>
      <w:r>
        <w:rPr>
          <w:sz w:val="28"/>
          <w:szCs w:val="28"/>
        </w:rPr>
        <w:t xml:space="preserve">t, illetve </w:t>
      </w:r>
      <w:r w:rsidR="00A1547C">
        <w:rPr>
          <w:sz w:val="28"/>
          <w:szCs w:val="28"/>
        </w:rPr>
        <w:t>147</w:t>
      </w:r>
      <w:r>
        <w:rPr>
          <w:sz w:val="28"/>
          <w:szCs w:val="28"/>
        </w:rPr>
        <w:t xml:space="preserve"> nem szakorvosi óra/hét kapacitás</w:t>
      </w:r>
      <w:r w:rsidR="00A1547C">
        <w:rPr>
          <w:sz w:val="28"/>
          <w:szCs w:val="28"/>
        </w:rPr>
        <w:t>sal rendelkezünk mindösszesen 28</w:t>
      </w:r>
      <w:r>
        <w:rPr>
          <w:sz w:val="28"/>
          <w:szCs w:val="28"/>
        </w:rPr>
        <w:t xml:space="preserve"> szakterületet felölelően. </w:t>
      </w:r>
      <w:r w:rsidR="009772E9">
        <w:rPr>
          <w:sz w:val="28"/>
          <w:szCs w:val="28"/>
        </w:rPr>
        <w:t xml:space="preserve"> Intézetünk struktúrájában 2017. évben változás nem történt. </w:t>
      </w:r>
    </w:p>
    <w:p w:rsidR="00361C2D" w:rsidRDefault="00361C2D" w:rsidP="007C192C">
      <w:pPr>
        <w:jc w:val="both"/>
        <w:rPr>
          <w:sz w:val="28"/>
          <w:szCs w:val="28"/>
        </w:rPr>
      </w:pPr>
      <w:r>
        <w:rPr>
          <w:sz w:val="28"/>
          <w:szCs w:val="28"/>
        </w:rPr>
        <w:t>Fontos feladatunk volt, hogy az Üzleti tervünkben célul kitűzött költségvetésünket tartani tudjuk.</w:t>
      </w:r>
    </w:p>
    <w:p w:rsidR="00361C2D" w:rsidRDefault="00361C2D" w:rsidP="007C192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A járóbeteg szakellátás betegforgalmi adatait elemezve a 2017. évre az alábbi főbb mutatók és megállapítások a jellemzők.</w:t>
      </w:r>
    </w:p>
    <w:p w:rsidR="00C9051C" w:rsidRDefault="00C9051C" w:rsidP="007C19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Intézményünkbe településenként az alábbi táblázatban megadott létszám fordult meg 2017. és 2017 év közötti időszakban: </w:t>
      </w:r>
    </w:p>
    <w:tbl>
      <w:tblPr>
        <w:tblW w:w="83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340"/>
        <w:gridCol w:w="1340"/>
        <w:gridCol w:w="1340"/>
        <w:gridCol w:w="1340"/>
        <w:gridCol w:w="1340"/>
      </w:tblGrid>
      <w:tr w:rsidR="001A7D15" w:rsidRPr="00AE45AB" w:rsidTr="001A7D15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A7D15" w:rsidRPr="00AE45AB" w:rsidRDefault="001A7D15" w:rsidP="00AE45AB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AE45AB">
              <w:rPr>
                <w:rFonts w:ascii="Calibri" w:eastAsia="Times New Roman" w:hAnsi="Calibri" w:cs="Times New Roman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A7D15" w:rsidRPr="00AE45AB" w:rsidRDefault="001A7D15" w:rsidP="00AE45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AE45AB">
              <w:rPr>
                <w:rFonts w:ascii="Calibri" w:eastAsia="Times New Roman" w:hAnsi="Calibri" w:cs="Times New Roman"/>
                <w:lang w:eastAsia="hu-HU"/>
              </w:rPr>
              <w:t>2013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A7D15" w:rsidRPr="00AE45AB" w:rsidRDefault="001A7D15" w:rsidP="00AE45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AE45AB">
              <w:rPr>
                <w:rFonts w:ascii="Calibri" w:eastAsia="Times New Roman" w:hAnsi="Calibri" w:cs="Times New Roman"/>
                <w:lang w:eastAsia="hu-HU"/>
              </w:rPr>
              <w:t>2014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A7D15" w:rsidRPr="00AE45AB" w:rsidRDefault="001A7D15" w:rsidP="00AE45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AE45AB">
              <w:rPr>
                <w:rFonts w:ascii="Calibri" w:eastAsia="Times New Roman" w:hAnsi="Calibri" w:cs="Times New Roman"/>
                <w:lang w:eastAsia="hu-HU"/>
              </w:rPr>
              <w:t>2015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A7D15" w:rsidRPr="00AE45AB" w:rsidRDefault="001A7D15" w:rsidP="00AE45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AE45AB">
              <w:rPr>
                <w:rFonts w:ascii="Calibri" w:eastAsia="Times New Roman" w:hAnsi="Calibri" w:cs="Times New Roman"/>
                <w:lang w:eastAsia="hu-HU"/>
              </w:rPr>
              <w:t>2016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A7D15" w:rsidRPr="00AE45AB" w:rsidRDefault="001A7D15" w:rsidP="00AE45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AE45AB">
              <w:rPr>
                <w:rFonts w:ascii="Calibri" w:eastAsia="Times New Roman" w:hAnsi="Calibri" w:cs="Times New Roman"/>
                <w:lang w:eastAsia="hu-HU"/>
              </w:rPr>
              <w:t>2017</w:t>
            </w:r>
          </w:p>
        </w:tc>
      </w:tr>
      <w:tr w:rsidR="001A7D15" w:rsidRPr="00AE45AB" w:rsidTr="001A7D15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D15" w:rsidRPr="00AE45AB" w:rsidRDefault="001A7D15" w:rsidP="00AE45AB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AE45AB">
              <w:rPr>
                <w:rFonts w:ascii="Calibri" w:eastAsia="Times New Roman" w:hAnsi="Calibri" w:cs="Times New Roman"/>
                <w:lang w:eastAsia="hu-HU"/>
              </w:rPr>
              <w:t>Tokaj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7D15" w:rsidRPr="00AE45AB" w:rsidRDefault="001A7D15" w:rsidP="00AE45AB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AE45AB">
              <w:rPr>
                <w:rFonts w:ascii="Calibri" w:eastAsia="Times New Roman" w:hAnsi="Calibri" w:cs="Times New Roman"/>
                <w:lang w:eastAsia="hu-HU"/>
              </w:rPr>
              <w:t xml:space="preserve">           11 149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7D15" w:rsidRPr="00AE45AB" w:rsidRDefault="001A7D15" w:rsidP="00AE45AB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AE45AB">
              <w:rPr>
                <w:rFonts w:ascii="Calibri" w:eastAsia="Times New Roman" w:hAnsi="Calibri" w:cs="Times New Roman"/>
                <w:lang w:eastAsia="hu-HU"/>
              </w:rPr>
              <w:t xml:space="preserve">           11 482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7D15" w:rsidRPr="00AE45AB" w:rsidRDefault="001A7D15" w:rsidP="00AE45AB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AE45AB">
              <w:rPr>
                <w:rFonts w:ascii="Calibri" w:eastAsia="Times New Roman" w:hAnsi="Calibri" w:cs="Times New Roman"/>
                <w:lang w:eastAsia="hu-HU"/>
              </w:rPr>
              <w:t xml:space="preserve">           12 388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7D15" w:rsidRPr="00AE45AB" w:rsidRDefault="001A7D15" w:rsidP="00AE45AB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AE45AB">
              <w:rPr>
                <w:rFonts w:ascii="Calibri" w:eastAsia="Times New Roman" w:hAnsi="Calibri" w:cs="Times New Roman"/>
                <w:lang w:eastAsia="hu-HU"/>
              </w:rPr>
              <w:t xml:space="preserve">           12 516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7D15" w:rsidRPr="00AE45AB" w:rsidRDefault="001A7D15" w:rsidP="00AE45AB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AE45AB">
              <w:rPr>
                <w:rFonts w:ascii="Calibri" w:eastAsia="Times New Roman" w:hAnsi="Calibri" w:cs="Times New Roman"/>
                <w:lang w:eastAsia="hu-HU"/>
              </w:rPr>
              <w:t xml:space="preserve">           11 345    </w:t>
            </w:r>
          </w:p>
        </w:tc>
      </w:tr>
      <w:tr w:rsidR="001A7D15" w:rsidRPr="00AE45AB" w:rsidTr="001A7D15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A7D15" w:rsidRPr="00AE45AB" w:rsidRDefault="001A7D15" w:rsidP="00AE45AB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AE45AB">
              <w:rPr>
                <w:rFonts w:ascii="Calibri" w:eastAsia="Times New Roman" w:hAnsi="Calibri" w:cs="Times New Roman"/>
                <w:lang w:eastAsia="hu-HU"/>
              </w:rPr>
              <w:t>Rakamaz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1A7D15" w:rsidRPr="00AE45AB" w:rsidRDefault="001A7D15" w:rsidP="00AE45AB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AE45AB">
              <w:rPr>
                <w:rFonts w:ascii="Calibri" w:eastAsia="Times New Roman" w:hAnsi="Calibri" w:cs="Times New Roman"/>
                <w:lang w:eastAsia="hu-HU"/>
              </w:rPr>
              <w:t xml:space="preserve">             5 811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1A7D15" w:rsidRPr="00AE45AB" w:rsidRDefault="001A7D15" w:rsidP="00AE45AB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AE45AB">
              <w:rPr>
                <w:rFonts w:ascii="Calibri" w:eastAsia="Times New Roman" w:hAnsi="Calibri" w:cs="Times New Roman"/>
                <w:lang w:eastAsia="hu-HU"/>
              </w:rPr>
              <w:t xml:space="preserve">             5 759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1A7D15" w:rsidRPr="00AE45AB" w:rsidRDefault="001A7D15" w:rsidP="00AE45AB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AE45AB">
              <w:rPr>
                <w:rFonts w:ascii="Calibri" w:eastAsia="Times New Roman" w:hAnsi="Calibri" w:cs="Times New Roman"/>
                <w:lang w:eastAsia="hu-HU"/>
              </w:rPr>
              <w:t xml:space="preserve">             5 669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1A7D15" w:rsidRPr="00AE45AB" w:rsidRDefault="001A7D15" w:rsidP="00AE45AB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AE45AB">
              <w:rPr>
                <w:rFonts w:ascii="Calibri" w:eastAsia="Times New Roman" w:hAnsi="Calibri" w:cs="Times New Roman"/>
                <w:lang w:eastAsia="hu-HU"/>
              </w:rPr>
              <w:t xml:space="preserve">             5 377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1A7D15" w:rsidRPr="00AE45AB" w:rsidRDefault="001A7D15" w:rsidP="00AE45AB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AE45AB">
              <w:rPr>
                <w:rFonts w:ascii="Calibri" w:eastAsia="Times New Roman" w:hAnsi="Calibri" w:cs="Times New Roman"/>
                <w:lang w:eastAsia="hu-HU"/>
              </w:rPr>
              <w:t xml:space="preserve">             4 705    </w:t>
            </w:r>
          </w:p>
        </w:tc>
      </w:tr>
      <w:tr w:rsidR="001A7D15" w:rsidRPr="00C9051C" w:rsidTr="001A7D15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D15" w:rsidRPr="00C9051C" w:rsidRDefault="001A7D15" w:rsidP="00AE45A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hu-HU"/>
              </w:rPr>
            </w:pPr>
            <w:r w:rsidRPr="00C9051C">
              <w:rPr>
                <w:rFonts w:ascii="Calibri" w:eastAsia="Times New Roman" w:hAnsi="Calibri" w:cs="Times New Roman"/>
                <w:color w:val="FF0000"/>
                <w:lang w:eastAsia="hu-HU"/>
              </w:rPr>
              <w:t>Kistérségen kívül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7D15" w:rsidRPr="00C9051C" w:rsidRDefault="001A7D15" w:rsidP="00AE45A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hu-HU"/>
              </w:rPr>
            </w:pPr>
            <w:r w:rsidRPr="00C9051C">
              <w:rPr>
                <w:rFonts w:ascii="Calibri" w:eastAsia="Times New Roman" w:hAnsi="Calibri" w:cs="Times New Roman"/>
                <w:color w:val="FF0000"/>
                <w:lang w:eastAsia="hu-HU"/>
              </w:rPr>
              <w:t xml:space="preserve">             3 709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7D15" w:rsidRPr="00C9051C" w:rsidRDefault="001A7D15" w:rsidP="00AE45A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hu-HU"/>
              </w:rPr>
            </w:pPr>
            <w:r w:rsidRPr="00C9051C">
              <w:rPr>
                <w:rFonts w:ascii="Calibri" w:eastAsia="Times New Roman" w:hAnsi="Calibri" w:cs="Times New Roman"/>
                <w:color w:val="FF0000"/>
                <w:lang w:eastAsia="hu-HU"/>
              </w:rPr>
              <w:t xml:space="preserve">             4 983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7D15" w:rsidRPr="00C9051C" w:rsidRDefault="001A7D15" w:rsidP="00AE45A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hu-HU"/>
              </w:rPr>
            </w:pPr>
            <w:r w:rsidRPr="00C9051C">
              <w:rPr>
                <w:rFonts w:ascii="Calibri" w:eastAsia="Times New Roman" w:hAnsi="Calibri" w:cs="Times New Roman"/>
                <w:color w:val="FF0000"/>
                <w:lang w:eastAsia="hu-HU"/>
              </w:rPr>
              <w:t xml:space="preserve">             5 929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7D15" w:rsidRPr="00C9051C" w:rsidRDefault="001A7D15" w:rsidP="00AE45A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hu-HU"/>
              </w:rPr>
            </w:pPr>
            <w:r w:rsidRPr="00C9051C">
              <w:rPr>
                <w:rFonts w:ascii="Calibri" w:eastAsia="Times New Roman" w:hAnsi="Calibri" w:cs="Times New Roman"/>
                <w:color w:val="FF0000"/>
                <w:lang w:eastAsia="hu-HU"/>
              </w:rPr>
              <w:t xml:space="preserve">             5 915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7D15" w:rsidRPr="00C9051C" w:rsidRDefault="001A7D15" w:rsidP="00AE45A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hu-HU"/>
              </w:rPr>
            </w:pPr>
            <w:r w:rsidRPr="00C9051C">
              <w:rPr>
                <w:rFonts w:ascii="Calibri" w:eastAsia="Times New Roman" w:hAnsi="Calibri" w:cs="Times New Roman"/>
                <w:color w:val="FF0000"/>
                <w:lang w:eastAsia="hu-HU"/>
              </w:rPr>
              <w:t xml:space="preserve">             5 956    </w:t>
            </w:r>
          </w:p>
        </w:tc>
      </w:tr>
      <w:tr w:rsidR="001A7D15" w:rsidRPr="00AE45AB" w:rsidTr="001A7D15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A7D15" w:rsidRPr="00AE45AB" w:rsidRDefault="001A7D15" w:rsidP="00AE45AB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AE45AB">
              <w:rPr>
                <w:rFonts w:ascii="Calibri" w:eastAsia="Times New Roman" w:hAnsi="Calibri" w:cs="Times New Roman"/>
                <w:lang w:eastAsia="hu-HU"/>
              </w:rPr>
              <w:t>Tarcal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1A7D15" w:rsidRPr="00AE45AB" w:rsidRDefault="001A7D15" w:rsidP="00AE45AB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AE45AB">
              <w:rPr>
                <w:rFonts w:ascii="Calibri" w:eastAsia="Times New Roman" w:hAnsi="Calibri" w:cs="Times New Roman"/>
                <w:lang w:eastAsia="hu-HU"/>
              </w:rPr>
              <w:t xml:space="preserve">             2 758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1A7D15" w:rsidRPr="00AE45AB" w:rsidRDefault="001A7D15" w:rsidP="00AE45AB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AE45AB">
              <w:rPr>
                <w:rFonts w:ascii="Calibri" w:eastAsia="Times New Roman" w:hAnsi="Calibri" w:cs="Times New Roman"/>
                <w:lang w:eastAsia="hu-HU"/>
              </w:rPr>
              <w:t xml:space="preserve">             3 088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1A7D15" w:rsidRPr="00AE45AB" w:rsidRDefault="001A7D15" w:rsidP="00AE45AB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AE45AB">
              <w:rPr>
                <w:rFonts w:ascii="Calibri" w:eastAsia="Times New Roman" w:hAnsi="Calibri" w:cs="Times New Roman"/>
                <w:lang w:eastAsia="hu-HU"/>
              </w:rPr>
              <w:t xml:space="preserve">             2 797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1A7D15" w:rsidRPr="00AE45AB" w:rsidRDefault="001A7D15" w:rsidP="00AE45AB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AE45AB">
              <w:rPr>
                <w:rFonts w:ascii="Calibri" w:eastAsia="Times New Roman" w:hAnsi="Calibri" w:cs="Times New Roman"/>
                <w:lang w:eastAsia="hu-HU"/>
              </w:rPr>
              <w:t xml:space="preserve">             2 514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1A7D15" w:rsidRPr="00AE45AB" w:rsidRDefault="001A7D15" w:rsidP="00AE45AB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AE45AB">
              <w:rPr>
                <w:rFonts w:ascii="Calibri" w:eastAsia="Times New Roman" w:hAnsi="Calibri" w:cs="Times New Roman"/>
                <w:lang w:eastAsia="hu-HU"/>
              </w:rPr>
              <w:t xml:space="preserve">             2 136    </w:t>
            </w:r>
          </w:p>
        </w:tc>
      </w:tr>
      <w:tr w:rsidR="001A7D15" w:rsidRPr="00AE45AB" w:rsidTr="001A7D15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D15" w:rsidRPr="00AE45AB" w:rsidRDefault="001A7D15" w:rsidP="00AE45AB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AE45AB">
              <w:rPr>
                <w:rFonts w:ascii="Calibri" w:eastAsia="Times New Roman" w:hAnsi="Calibri" w:cs="Times New Roman"/>
                <w:lang w:eastAsia="hu-HU"/>
              </w:rPr>
              <w:t>Bodrogkeresztúr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7D15" w:rsidRPr="00AE45AB" w:rsidRDefault="001A7D15" w:rsidP="00AE45AB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AE45AB">
              <w:rPr>
                <w:rFonts w:ascii="Calibri" w:eastAsia="Times New Roman" w:hAnsi="Calibri" w:cs="Times New Roman"/>
                <w:lang w:eastAsia="hu-HU"/>
              </w:rPr>
              <w:t xml:space="preserve">             2 166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7D15" w:rsidRPr="00AE45AB" w:rsidRDefault="001A7D15" w:rsidP="00AE45AB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AE45AB">
              <w:rPr>
                <w:rFonts w:ascii="Calibri" w:eastAsia="Times New Roman" w:hAnsi="Calibri" w:cs="Times New Roman"/>
                <w:lang w:eastAsia="hu-HU"/>
              </w:rPr>
              <w:t xml:space="preserve">             2 139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7D15" w:rsidRPr="00AE45AB" w:rsidRDefault="001A7D15" w:rsidP="00AE45AB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AE45AB">
              <w:rPr>
                <w:rFonts w:ascii="Calibri" w:eastAsia="Times New Roman" w:hAnsi="Calibri" w:cs="Times New Roman"/>
                <w:lang w:eastAsia="hu-HU"/>
              </w:rPr>
              <w:t xml:space="preserve">             2 333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7D15" w:rsidRPr="00AE45AB" w:rsidRDefault="001A7D15" w:rsidP="00AE45AB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AE45AB">
              <w:rPr>
                <w:rFonts w:ascii="Calibri" w:eastAsia="Times New Roman" w:hAnsi="Calibri" w:cs="Times New Roman"/>
                <w:lang w:eastAsia="hu-HU"/>
              </w:rPr>
              <w:t xml:space="preserve">             1 907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7D15" w:rsidRPr="00AE45AB" w:rsidRDefault="001A7D15" w:rsidP="00AE45AB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AE45AB">
              <w:rPr>
                <w:rFonts w:ascii="Calibri" w:eastAsia="Times New Roman" w:hAnsi="Calibri" w:cs="Times New Roman"/>
                <w:lang w:eastAsia="hu-HU"/>
              </w:rPr>
              <w:t xml:space="preserve">             1 879    </w:t>
            </w:r>
          </w:p>
        </w:tc>
      </w:tr>
      <w:tr w:rsidR="001A7D15" w:rsidRPr="00AE45AB" w:rsidTr="001A7D15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A7D15" w:rsidRPr="00AE45AB" w:rsidRDefault="001A7D15" w:rsidP="00AE45AB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AE45AB">
              <w:rPr>
                <w:rFonts w:ascii="Calibri" w:eastAsia="Times New Roman" w:hAnsi="Calibri" w:cs="Times New Roman"/>
                <w:lang w:eastAsia="hu-HU"/>
              </w:rPr>
              <w:t>Bodrogkisfalud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1A7D15" w:rsidRPr="00AE45AB" w:rsidRDefault="001A7D15" w:rsidP="00AE45AB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AE45AB">
              <w:rPr>
                <w:rFonts w:ascii="Calibri" w:eastAsia="Times New Roman" w:hAnsi="Calibri" w:cs="Times New Roman"/>
                <w:lang w:eastAsia="hu-HU"/>
              </w:rPr>
              <w:t xml:space="preserve">             1 416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1A7D15" w:rsidRPr="00AE45AB" w:rsidRDefault="001A7D15" w:rsidP="00AE45AB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AE45AB">
              <w:rPr>
                <w:rFonts w:ascii="Calibri" w:eastAsia="Times New Roman" w:hAnsi="Calibri" w:cs="Times New Roman"/>
                <w:lang w:eastAsia="hu-HU"/>
              </w:rPr>
              <w:t xml:space="preserve">             1 566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1A7D15" w:rsidRPr="00AE45AB" w:rsidRDefault="001A7D15" w:rsidP="00AE45AB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AE45AB">
              <w:rPr>
                <w:rFonts w:ascii="Calibri" w:eastAsia="Times New Roman" w:hAnsi="Calibri" w:cs="Times New Roman"/>
                <w:lang w:eastAsia="hu-HU"/>
              </w:rPr>
              <w:t xml:space="preserve">             1 586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1A7D15" w:rsidRPr="00AE45AB" w:rsidRDefault="001A7D15" w:rsidP="00AE45AB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AE45AB">
              <w:rPr>
                <w:rFonts w:ascii="Calibri" w:eastAsia="Times New Roman" w:hAnsi="Calibri" w:cs="Times New Roman"/>
                <w:lang w:eastAsia="hu-HU"/>
              </w:rPr>
              <w:t xml:space="preserve">             1 437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1A7D15" w:rsidRPr="00AE45AB" w:rsidRDefault="001A7D15" w:rsidP="00AE45AB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AE45AB">
              <w:rPr>
                <w:rFonts w:ascii="Calibri" w:eastAsia="Times New Roman" w:hAnsi="Calibri" w:cs="Times New Roman"/>
                <w:lang w:eastAsia="hu-HU"/>
              </w:rPr>
              <w:t xml:space="preserve">             1 376    </w:t>
            </w:r>
          </w:p>
        </w:tc>
      </w:tr>
      <w:tr w:rsidR="001A7D15" w:rsidRPr="00AE45AB" w:rsidTr="001A7D15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D15" w:rsidRPr="00AE45AB" w:rsidRDefault="001A7D15" w:rsidP="00AE45AB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AE45AB">
              <w:rPr>
                <w:rFonts w:ascii="Calibri" w:eastAsia="Times New Roman" w:hAnsi="Calibri" w:cs="Times New Roman"/>
                <w:lang w:eastAsia="hu-HU"/>
              </w:rPr>
              <w:t>Tiszanagyfalu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7D15" w:rsidRPr="00AE45AB" w:rsidRDefault="001A7D15" w:rsidP="00AE45AB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AE45AB">
              <w:rPr>
                <w:rFonts w:ascii="Calibri" w:eastAsia="Times New Roman" w:hAnsi="Calibri" w:cs="Times New Roman"/>
                <w:lang w:eastAsia="hu-HU"/>
              </w:rPr>
              <w:t xml:space="preserve">             1 647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7D15" w:rsidRPr="00AE45AB" w:rsidRDefault="001A7D15" w:rsidP="00AE45AB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AE45AB">
              <w:rPr>
                <w:rFonts w:ascii="Calibri" w:eastAsia="Times New Roman" w:hAnsi="Calibri" w:cs="Times New Roman"/>
                <w:lang w:eastAsia="hu-HU"/>
              </w:rPr>
              <w:t xml:space="preserve">             1 558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7D15" w:rsidRPr="00AE45AB" w:rsidRDefault="001A7D15" w:rsidP="00AE45AB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AE45AB">
              <w:rPr>
                <w:rFonts w:ascii="Calibri" w:eastAsia="Times New Roman" w:hAnsi="Calibri" w:cs="Times New Roman"/>
                <w:lang w:eastAsia="hu-HU"/>
              </w:rPr>
              <w:t xml:space="preserve">             1 530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7D15" w:rsidRPr="00AE45AB" w:rsidRDefault="001A7D15" w:rsidP="00AE45AB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AE45AB">
              <w:rPr>
                <w:rFonts w:ascii="Calibri" w:eastAsia="Times New Roman" w:hAnsi="Calibri" w:cs="Times New Roman"/>
                <w:lang w:eastAsia="hu-HU"/>
              </w:rPr>
              <w:t xml:space="preserve">             1 339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7D15" w:rsidRPr="00AE45AB" w:rsidRDefault="001A7D15" w:rsidP="00AE45AB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AE45AB">
              <w:rPr>
                <w:rFonts w:ascii="Calibri" w:eastAsia="Times New Roman" w:hAnsi="Calibri" w:cs="Times New Roman"/>
                <w:lang w:eastAsia="hu-HU"/>
              </w:rPr>
              <w:t xml:space="preserve">             1 152    </w:t>
            </w:r>
          </w:p>
        </w:tc>
      </w:tr>
      <w:tr w:rsidR="001A7D15" w:rsidRPr="00AE45AB" w:rsidTr="001A7D15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A7D15" w:rsidRPr="00AE45AB" w:rsidRDefault="001A7D15" w:rsidP="00AE45AB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AE45AB">
              <w:rPr>
                <w:rFonts w:ascii="Calibri" w:eastAsia="Times New Roman" w:hAnsi="Calibri" w:cs="Times New Roman"/>
                <w:lang w:eastAsia="hu-HU"/>
              </w:rPr>
              <w:t>Tiszaladány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1A7D15" w:rsidRPr="00AE45AB" w:rsidRDefault="001A7D15" w:rsidP="00AE45AB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AE45AB">
              <w:rPr>
                <w:rFonts w:ascii="Calibri" w:eastAsia="Times New Roman" w:hAnsi="Calibri" w:cs="Times New Roman"/>
                <w:lang w:eastAsia="hu-HU"/>
              </w:rPr>
              <w:t xml:space="preserve">             1 303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1A7D15" w:rsidRPr="00AE45AB" w:rsidRDefault="001A7D15" w:rsidP="00AE45AB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AE45AB">
              <w:rPr>
                <w:rFonts w:ascii="Calibri" w:eastAsia="Times New Roman" w:hAnsi="Calibri" w:cs="Times New Roman"/>
                <w:lang w:eastAsia="hu-HU"/>
              </w:rPr>
              <w:t xml:space="preserve">             1 487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1A7D15" w:rsidRPr="00AE45AB" w:rsidRDefault="001A7D15" w:rsidP="00AE45AB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AE45AB">
              <w:rPr>
                <w:rFonts w:ascii="Calibri" w:eastAsia="Times New Roman" w:hAnsi="Calibri" w:cs="Times New Roman"/>
                <w:lang w:eastAsia="hu-HU"/>
              </w:rPr>
              <w:t xml:space="preserve">             1 530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1A7D15" w:rsidRPr="00AE45AB" w:rsidRDefault="001A7D15" w:rsidP="00AE45AB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AE45AB">
              <w:rPr>
                <w:rFonts w:ascii="Calibri" w:eastAsia="Times New Roman" w:hAnsi="Calibri" w:cs="Times New Roman"/>
                <w:lang w:eastAsia="hu-HU"/>
              </w:rPr>
              <w:t xml:space="preserve">             1 408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1A7D15" w:rsidRPr="00AE45AB" w:rsidRDefault="001A7D15" w:rsidP="00AE45AB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AE45AB">
              <w:rPr>
                <w:rFonts w:ascii="Calibri" w:eastAsia="Times New Roman" w:hAnsi="Calibri" w:cs="Times New Roman"/>
                <w:lang w:eastAsia="hu-HU"/>
              </w:rPr>
              <w:t xml:space="preserve">             1 323    </w:t>
            </w:r>
          </w:p>
        </w:tc>
      </w:tr>
      <w:tr w:rsidR="001A7D15" w:rsidRPr="00AE45AB" w:rsidTr="001A7D15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D15" w:rsidRPr="00AE45AB" w:rsidRDefault="001A7D15" w:rsidP="00AE45AB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AE45AB">
              <w:rPr>
                <w:rFonts w:ascii="Calibri" w:eastAsia="Times New Roman" w:hAnsi="Calibri" w:cs="Times New Roman"/>
                <w:lang w:eastAsia="hu-HU"/>
              </w:rPr>
              <w:t>Tímár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7D15" w:rsidRPr="00AE45AB" w:rsidRDefault="001A7D15" w:rsidP="00AE45AB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AE45AB">
              <w:rPr>
                <w:rFonts w:ascii="Calibri" w:eastAsia="Times New Roman" w:hAnsi="Calibri" w:cs="Times New Roman"/>
                <w:lang w:eastAsia="hu-HU"/>
              </w:rPr>
              <w:t xml:space="preserve">             1 086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7D15" w:rsidRPr="00AE45AB" w:rsidRDefault="001A7D15" w:rsidP="00AE45AB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AE45AB">
              <w:rPr>
                <w:rFonts w:ascii="Calibri" w:eastAsia="Times New Roman" w:hAnsi="Calibri" w:cs="Times New Roman"/>
                <w:lang w:eastAsia="hu-HU"/>
              </w:rPr>
              <w:t xml:space="preserve">             1 085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7D15" w:rsidRPr="00AE45AB" w:rsidRDefault="001A7D15" w:rsidP="00AE45AB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AE45AB">
              <w:rPr>
                <w:rFonts w:ascii="Calibri" w:eastAsia="Times New Roman" w:hAnsi="Calibri" w:cs="Times New Roman"/>
                <w:lang w:eastAsia="hu-HU"/>
              </w:rPr>
              <w:t xml:space="preserve">             1 169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7D15" w:rsidRPr="00AE45AB" w:rsidRDefault="001A7D15" w:rsidP="00AE45AB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AE45AB">
              <w:rPr>
                <w:rFonts w:ascii="Calibri" w:eastAsia="Times New Roman" w:hAnsi="Calibri" w:cs="Times New Roman"/>
                <w:lang w:eastAsia="hu-HU"/>
              </w:rPr>
              <w:t xml:space="preserve">                 982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7D15" w:rsidRPr="00AE45AB" w:rsidRDefault="001A7D15" w:rsidP="00AE45AB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AE45AB">
              <w:rPr>
                <w:rFonts w:ascii="Calibri" w:eastAsia="Times New Roman" w:hAnsi="Calibri" w:cs="Times New Roman"/>
                <w:lang w:eastAsia="hu-HU"/>
              </w:rPr>
              <w:t xml:space="preserve">                 828    </w:t>
            </w:r>
          </w:p>
        </w:tc>
      </w:tr>
      <w:tr w:rsidR="001A7D15" w:rsidRPr="00AE45AB" w:rsidTr="001A7D15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A7D15" w:rsidRPr="00AE45AB" w:rsidRDefault="001A7D15" w:rsidP="00AE45AB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AE45AB">
              <w:rPr>
                <w:rFonts w:ascii="Calibri" w:eastAsia="Times New Roman" w:hAnsi="Calibri" w:cs="Times New Roman"/>
                <w:lang w:eastAsia="hu-HU"/>
              </w:rPr>
              <w:t>Csobaj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1A7D15" w:rsidRPr="00AE45AB" w:rsidRDefault="001A7D15" w:rsidP="00AE45AB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AE45AB">
              <w:rPr>
                <w:rFonts w:ascii="Calibri" w:eastAsia="Times New Roman" w:hAnsi="Calibri" w:cs="Times New Roman"/>
                <w:lang w:eastAsia="hu-HU"/>
              </w:rPr>
              <w:t xml:space="preserve">                 728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1A7D15" w:rsidRPr="00AE45AB" w:rsidRDefault="001A7D15" w:rsidP="00AE45AB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AE45AB">
              <w:rPr>
                <w:rFonts w:ascii="Calibri" w:eastAsia="Times New Roman" w:hAnsi="Calibri" w:cs="Times New Roman"/>
                <w:lang w:eastAsia="hu-HU"/>
              </w:rPr>
              <w:t xml:space="preserve">                 824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1A7D15" w:rsidRPr="00AE45AB" w:rsidRDefault="001A7D15" w:rsidP="00AE45AB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AE45AB">
              <w:rPr>
                <w:rFonts w:ascii="Calibri" w:eastAsia="Times New Roman" w:hAnsi="Calibri" w:cs="Times New Roman"/>
                <w:lang w:eastAsia="hu-HU"/>
              </w:rPr>
              <w:t xml:space="preserve">                 851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1A7D15" w:rsidRPr="00AE45AB" w:rsidRDefault="001A7D15" w:rsidP="00AE45AB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AE45AB">
              <w:rPr>
                <w:rFonts w:ascii="Calibri" w:eastAsia="Times New Roman" w:hAnsi="Calibri" w:cs="Times New Roman"/>
                <w:lang w:eastAsia="hu-HU"/>
              </w:rPr>
              <w:t xml:space="preserve">                 660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1A7D15" w:rsidRPr="00AE45AB" w:rsidRDefault="001A7D15" w:rsidP="00AE45AB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AE45AB">
              <w:rPr>
                <w:rFonts w:ascii="Calibri" w:eastAsia="Times New Roman" w:hAnsi="Calibri" w:cs="Times New Roman"/>
                <w:lang w:eastAsia="hu-HU"/>
              </w:rPr>
              <w:t xml:space="preserve">                 664    </w:t>
            </w:r>
          </w:p>
        </w:tc>
      </w:tr>
      <w:tr w:rsidR="001A7D15" w:rsidRPr="00AE45AB" w:rsidTr="001A7D15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D15" w:rsidRPr="00AE45AB" w:rsidRDefault="001A7D15" w:rsidP="00AE45AB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AE45AB">
              <w:rPr>
                <w:rFonts w:ascii="Calibri" w:eastAsia="Times New Roman" w:hAnsi="Calibri" w:cs="Times New Roman"/>
                <w:lang w:eastAsia="hu-HU"/>
              </w:rPr>
              <w:t>Tiszatardos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7D15" w:rsidRPr="00AE45AB" w:rsidRDefault="001A7D15" w:rsidP="00AE45AB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AE45AB">
              <w:rPr>
                <w:rFonts w:ascii="Calibri" w:eastAsia="Times New Roman" w:hAnsi="Calibri" w:cs="Times New Roman"/>
                <w:lang w:eastAsia="hu-HU"/>
              </w:rPr>
              <w:t xml:space="preserve">                 525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7D15" w:rsidRPr="00AE45AB" w:rsidRDefault="001A7D15" w:rsidP="00AE45AB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AE45AB">
              <w:rPr>
                <w:rFonts w:ascii="Calibri" w:eastAsia="Times New Roman" w:hAnsi="Calibri" w:cs="Times New Roman"/>
                <w:lang w:eastAsia="hu-HU"/>
              </w:rPr>
              <w:t xml:space="preserve">                 553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7D15" w:rsidRPr="00AE45AB" w:rsidRDefault="001A7D15" w:rsidP="00AE45AB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AE45AB">
              <w:rPr>
                <w:rFonts w:ascii="Calibri" w:eastAsia="Times New Roman" w:hAnsi="Calibri" w:cs="Times New Roman"/>
                <w:lang w:eastAsia="hu-HU"/>
              </w:rPr>
              <w:t xml:space="preserve">                 431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7D15" w:rsidRPr="00AE45AB" w:rsidRDefault="001A7D15" w:rsidP="00AE45AB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AE45AB">
              <w:rPr>
                <w:rFonts w:ascii="Calibri" w:eastAsia="Times New Roman" w:hAnsi="Calibri" w:cs="Times New Roman"/>
                <w:lang w:eastAsia="hu-HU"/>
              </w:rPr>
              <w:t xml:space="preserve">                 368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7D15" w:rsidRPr="00AE45AB" w:rsidRDefault="001A7D15" w:rsidP="00AE45AB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AE45AB">
              <w:rPr>
                <w:rFonts w:ascii="Calibri" w:eastAsia="Times New Roman" w:hAnsi="Calibri" w:cs="Times New Roman"/>
                <w:lang w:eastAsia="hu-HU"/>
              </w:rPr>
              <w:t xml:space="preserve">                 376    </w:t>
            </w:r>
          </w:p>
        </w:tc>
      </w:tr>
      <w:tr w:rsidR="001A7D15" w:rsidRPr="00AE45AB" w:rsidTr="001A7D15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A7D15" w:rsidRPr="00AE45AB" w:rsidRDefault="001A7D15" w:rsidP="00AE45AB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AE45AB">
              <w:rPr>
                <w:rFonts w:ascii="Calibri" w:eastAsia="Times New Roman" w:hAnsi="Calibri" w:cs="Times New Roman"/>
                <w:lang w:eastAsia="hu-HU"/>
              </w:rPr>
              <w:t>Erdőbénye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1A7D15" w:rsidRPr="00AE45AB" w:rsidRDefault="001A7D15" w:rsidP="00AE45AB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AE45AB">
              <w:rPr>
                <w:rFonts w:ascii="Calibri" w:eastAsia="Times New Roman" w:hAnsi="Calibri" w:cs="Times New Roman"/>
                <w:lang w:eastAsia="hu-HU"/>
              </w:rPr>
              <w:t xml:space="preserve">                 388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1A7D15" w:rsidRPr="00AE45AB" w:rsidRDefault="001A7D15" w:rsidP="00AE45AB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AE45AB">
              <w:rPr>
                <w:rFonts w:ascii="Calibri" w:eastAsia="Times New Roman" w:hAnsi="Calibri" w:cs="Times New Roman"/>
                <w:lang w:eastAsia="hu-HU"/>
              </w:rPr>
              <w:t xml:space="preserve">                 455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1A7D15" w:rsidRPr="00AE45AB" w:rsidRDefault="001A7D15" w:rsidP="00AE45AB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AE45AB">
              <w:rPr>
                <w:rFonts w:ascii="Calibri" w:eastAsia="Times New Roman" w:hAnsi="Calibri" w:cs="Times New Roman"/>
                <w:lang w:eastAsia="hu-HU"/>
              </w:rPr>
              <w:t xml:space="preserve">                 496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1A7D15" w:rsidRPr="00AE45AB" w:rsidRDefault="001A7D15" w:rsidP="00AE45AB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AE45AB">
              <w:rPr>
                <w:rFonts w:ascii="Calibri" w:eastAsia="Times New Roman" w:hAnsi="Calibri" w:cs="Times New Roman"/>
                <w:lang w:eastAsia="hu-HU"/>
              </w:rPr>
              <w:t xml:space="preserve">                 380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1A7D15" w:rsidRPr="00AE45AB" w:rsidRDefault="001A7D15" w:rsidP="00AE45AB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AE45AB">
              <w:rPr>
                <w:rFonts w:ascii="Calibri" w:eastAsia="Times New Roman" w:hAnsi="Calibri" w:cs="Times New Roman"/>
                <w:lang w:eastAsia="hu-HU"/>
              </w:rPr>
              <w:t xml:space="preserve">                 372    </w:t>
            </w:r>
          </w:p>
        </w:tc>
      </w:tr>
      <w:tr w:rsidR="001A7D15" w:rsidRPr="00AE45AB" w:rsidTr="001A7D15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D15" w:rsidRPr="00AE45AB" w:rsidRDefault="001A7D15" w:rsidP="00AE45AB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AE45AB">
              <w:rPr>
                <w:rFonts w:ascii="Calibri" w:eastAsia="Times New Roman" w:hAnsi="Calibri" w:cs="Times New Roman"/>
                <w:lang w:eastAsia="hu-HU"/>
              </w:rPr>
              <w:t>Szegi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7D15" w:rsidRPr="00AE45AB" w:rsidRDefault="001A7D15" w:rsidP="00AE45AB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AE45AB">
              <w:rPr>
                <w:rFonts w:ascii="Calibri" w:eastAsia="Times New Roman" w:hAnsi="Calibri" w:cs="Times New Roman"/>
                <w:lang w:eastAsia="hu-HU"/>
              </w:rPr>
              <w:t xml:space="preserve">                 426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7D15" w:rsidRPr="00AE45AB" w:rsidRDefault="001A7D15" w:rsidP="00AE45AB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AE45AB">
              <w:rPr>
                <w:rFonts w:ascii="Calibri" w:eastAsia="Times New Roman" w:hAnsi="Calibri" w:cs="Times New Roman"/>
                <w:lang w:eastAsia="hu-HU"/>
              </w:rPr>
              <w:t xml:space="preserve">                 433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7D15" w:rsidRPr="00AE45AB" w:rsidRDefault="001A7D15" w:rsidP="00AE45AB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AE45AB">
              <w:rPr>
                <w:rFonts w:ascii="Calibri" w:eastAsia="Times New Roman" w:hAnsi="Calibri" w:cs="Times New Roman"/>
                <w:lang w:eastAsia="hu-HU"/>
              </w:rPr>
              <w:t xml:space="preserve">                 483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7D15" w:rsidRPr="00AE45AB" w:rsidRDefault="001A7D15" w:rsidP="00AE45AB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AE45AB">
              <w:rPr>
                <w:rFonts w:ascii="Calibri" w:eastAsia="Times New Roman" w:hAnsi="Calibri" w:cs="Times New Roman"/>
                <w:lang w:eastAsia="hu-HU"/>
              </w:rPr>
              <w:t xml:space="preserve">                 369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7D15" w:rsidRPr="00AE45AB" w:rsidRDefault="001A7D15" w:rsidP="00AE45AB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AE45AB">
              <w:rPr>
                <w:rFonts w:ascii="Calibri" w:eastAsia="Times New Roman" w:hAnsi="Calibri" w:cs="Times New Roman"/>
                <w:lang w:eastAsia="hu-HU"/>
              </w:rPr>
              <w:t xml:space="preserve">                 284    </w:t>
            </w:r>
          </w:p>
        </w:tc>
      </w:tr>
      <w:tr w:rsidR="001A7D15" w:rsidRPr="00AE45AB" w:rsidTr="001A7D15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A7D15" w:rsidRPr="00AE45AB" w:rsidRDefault="001A7D15" w:rsidP="00AE45AB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AE45AB">
              <w:rPr>
                <w:rFonts w:ascii="Calibri" w:eastAsia="Times New Roman" w:hAnsi="Calibri" w:cs="Times New Roman"/>
                <w:lang w:eastAsia="hu-HU"/>
              </w:rPr>
              <w:t>Szabolcs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1A7D15" w:rsidRPr="00AE45AB" w:rsidRDefault="001A7D15" w:rsidP="00AE45AB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AE45AB">
              <w:rPr>
                <w:rFonts w:ascii="Calibri" w:eastAsia="Times New Roman" w:hAnsi="Calibri" w:cs="Times New Roman"/>
                <w:lang w:eastAsia="hu-HU"/>
              </w:rPr>
              <w:t xml:space="preserve">                 391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1A7D15" w:rsidRPr="00AE45AB" w:rsidRDefault="001A7D15" w:rsidP="00AE45AB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AE45AB">
              <w:rPr>
                <w:rFonts w:ascii="Calibri" w:eastAsia="Times New Roman" w:hAnsi="Calibri" w:cs="Times New Roman"/>
                <w:lang w:eastAsia="hu-HU"/>
              </w:rPr>
              <w:t xml:space="preserve">                 371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1A7D15" w:rsidRPr="00AE45AB" w:rsidRDefault="001A7D15" w:rsidP="00AE45AB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AE45AB">
              <w:rPr>
                <w:rFonts w:ascii="Calibri" w:eastAsia="Times New Roman" w:hAnsi="Calibri" w:cs="Times New Roman"/>
                <w:lang w:eastAsia="hu-HU"/>
              </w:rPr>
              <w:t xml:space="preserve">                 403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1A7D15" w:rsidRPr="00AE45AB" w:rsidRDefault="001A7D15" w:rsidP="00AE45AB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AE45AB">
              <w:rPr>
                <w:rFonts w:ascii="Calibri" w:eastAsia="Times New Roman" w:hAnsi="Calibri" w:cs="Times New Roman"/>
                <w:lang w:eastAsia="hu-HU"/>
              </w:rPr>
              <w:t xml:space="preserve">                 270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1A7D15" w:rsidRPr="00AE45AB" w:rsidRDefault="001A7D15" w:rsidP="00AE45AB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AE45AB">
              <w:rPr>
                <w:rFonts w:ascii="Calibri" w:eastAsia="Times New Roman" w:hAnsi="Calibri" w:cs="Times New Roman"/>
                <w:lang w:eastAsia="hu-HU"/>
              </w:rPr>
              <w:t xml:space="preserve">                 273    </w:t>
            </w:r>
          </w:p>
        </w:tc>
      </w:tr>
      <w:tr w:rsidR="001A7D15" w:rsidRPr="00AE45AB" w:rsidTr="001A7D15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D15" w:rsidRPr="00AE45AB" w:rsidRDefault="001A7D15" w:rsidP="00AE45AB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AE45AB">
              <w:rPr>
                <w:rFonts w:ascii="Calibri" w:eastAsia="Times New Roman" w:hAnsi="Calibri" w:cs="Times New Roman"/>
                <w:lang w:eastAsia="hu-HU"/>
              </w:rPr>
              <w:t>Taktabáj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7D15" w:rsidRPr="00AE45AB" w:rsidRDefault="001A7D15" w:rsidP="00AE45AB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AE45AB">
              <w:rPr>
                <w:rFonts w:ascii="Calibri" w:eastAsia="Times New Roman" w:hAnsi="Calibri" w:cs="Times New Roman"/>
                <w:lang w:eastAsia="hu-HU"/>
              </w:rPr>
              <w:t xml:space="preserve">                 348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7D15" w:rsidRPr="00AE45AB" w:rsidRDefault="001A7D15" w:rsidP="00AE45AB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AE45AB">
              <w:rPr>
                <w:rFonts w:ascii="Calibri" w:eastAsia="Times New Roman" w:hAnsi="Calibri" w:cs="Times New Roman"/>
                <w:lang w:eastAsia="hu-HU"/>
              </w:rPr>
              <w:t xml:space="preserve">                 298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7D15" w:rsidRPr="00AE45AB" w:rsidRDefault="001A7D15" w:rsidP="00AE45AB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AE45AB">
              <w:rPr>
                <w:rFonts w:ascii="Calibri" w:eastAsia="Times New Roman" w:hAnsi="Calibri" w:cs="Times New Roman"/>
                <w:lang w:eastAsia="hu-HU"/>
              </w:rPr>
              <w:t xml:space="preserve">                 290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7D15" w:rsidRPr="00AE45AB" w:rsidRDefault="001A7D15" w:rsidP="00AE45AB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AE45AB">
              <w:rPr>
                <w:rFonts w:ascii="Calibri" w:eastAsia="Times New Roman" w:hAnsi="Calibri" w:cs="Times New Roman"/>
                <w:lang w:eastAsia="hu-HU"/>
              </w:rPr>
              <w:t xml:space="preserve">                 338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7D15" w:rsidRPr="00AE45AB" w:rsidRDefault="001A7D15" w:rsidP="00AE45AB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AE45AB">
              <w:rPr>
                <w:rFonts w:ascii="Calibri" w:eastAsia="Times New Roman" w:hAnsi="Calibri" w:cs="Times New Roman"/>
                <w:lang w:eastAsia="hu-HU"/>
              </w:rPr>
              <w:t xml:space="preserve">                 307    </w:t>
            </w:r>
          </w:p>
        </w:tc>
      </w:tr>
      <w:tr w:rsidR="001A7D15" w:rsidRPr="00AE45AB" w:rsidTr="001A7D15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A7D15" w:rsidRPr="00AE45AB" w:rsidRDefault="001A7D15" w:rsidP="00AE45AB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AE45AB">
              <w:rPr>
                <w:rFonts w:ascii="Calibri" w:eastAsia="Times New Roman" w:hAnsi="Calibri" w:cs="Times New Roman"/>
                <w:lang w:eastAsia="hu-HU"/>
              </w:rPr>
              <w:t>Szegilong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1A7D15" w:rsidRPr="00AE45AB" w:rsidRDefault="001A7D15" w:rsidP="00AE45AB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AE45AB">
              <w:rPr>
                <w:rFonts w:ascii="Calibri" w:eastAsia="Times New Roman" w:hAnsi="Calibri" w:cs="Times New Roman"/>
                <w:lang w:eastAsia="hu-HU"/>
              </w:rPr>
              <w:t xml:space="preserve">                 314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1A7D15" w:rsidRPr="00AE45AB" w:rsidRDefault="001A7D15" w:rsidP="00AE45AB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AE45AB">
              <w:rPr>
                <w:rFonts w:ascii="Calibri" w:eastAsia="Times New Roman" w:hAnsi="Calibri" w:cs="Times New Roman"/>
                <w:lang w:eastAsia="hu-HU"/>
              </w:rPr>
              <w:t xml:space="preserve">                 280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1A7D15" w:rsidRPr="00AE45AB" w:rsidRDefault="001A7D15" w:rsidP="00AE45AB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AE45AB">
              <w:rPr>
                <w:rFonts w:ascii="Calibri" w:eastAsia="Times New Roman" w:hAnsi="Calibri" w:cs="Times New Roman"/>
                <w:lang w:eastAsia="hu-HU"/>
              </w:rPr>
              <w:t xml:space="preserve">                 312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1A7D15" w:rsidRPr="00AE45AB" w:rsidRDefault="001A7D15" w:rsidP="00AE45AB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AE45AB">
              <w:rPr>
                <w:rFonts w:ascii="Calibri" w:eastAsia="Times New Roman" w:hAnsi="Calibri" w:cs="Times New Roman"/>
                <w:lang w:eastAsia="hu-HU"/>
              </w:rPr>
              <w:t xml:space="preserve">                 241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1A7D15" w:rsidRPr="00AE45AB" w:rsidRDefault="001A7D15" w:rsidP="00AE45AB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AE45AB">
              <w:rPr>
                <w:rFonts w:ascii="Calibri" w:eastAsia="Times New Roman" w:hAnsi="Calibri" w:cs="Times New Roman"/>
                <w:lang w:eastAsia="hu-HU"/>
              </w:rPr>
              <w:t xml:space="preserve">                 230    </w:t>
            </w:r>
          </w:p>
        </w:tc>
      </w:tr>
      <w:tr w:rsidR="001A7D15" w:rsidRPr="00C9051C" w:rsidTr="001A7D15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D15" w:rsidRPr="00C9051C" w:rsidRDefault="001A7D15" w:rsidP="00AE4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u-HU"/>
              </w:rPr>
            </w:pPr>
            <w:r w:rsidRPr="00C9051C">
              <w:rPr>
                <w:rFonts w:ascii="Calibri" w:eastAsia="Times New Roman" w:hAnsi="Calibri" w:cs="Times New Roman"/>
                <w:lang w:eastAsia="hu-HU"/>
              </w:rPr>
              <w:t>Összesen: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D15" w:rsidRPr="00C9051C" w:rsidRDefault="001A7D15" w:rsidP="00AE45AB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9051C">
              <w:rPr>
                <w:rFonts w:ascii="Calibri" w:eastAsia="Times New Roman" w:hAnsi="Calibri" w:cs="Times New Roman"/>
                <w:lang w:eastAsia="hu-HU"/>
              </w:rPr>
              <w:t xml:space="preserve">           34 165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D15" w:rsidRPr="00C9051C" w:rsidRDefault="001A7D15" w:rsidP="00AE45AB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9051C">
              <w:rPr>
                <w:rFonts w:ascii="Calibri" w:eastAsia="Times New Roman" w:hAnsi="Calibri" w:cs="Times New Roman"/>
                <w:lang w:eastAsia="hu-HU"/>
              </w:rPr>
              <w:t xml:space="preserve">           36 361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D15" w:rsidRPr="00C9051C" w:rsidRDefault="001A7D15" w:rsidP="00AE45AB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9051C">
              <w:rPr>
                <w:rFonts w:ascii="Calibri" w:eastAsia="Times New Roman" w:hAnsi="Calibri" w:cs="Times New Roman"/>
                <w:lang w:eastAsia="hu-HU"/>
              </w:rPr>
              <w:t xml:space="preserve">           38 197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D15" w:rsidRPr="00C9051C" w:rsidRDefault="001A7D15" w:rsidP="00AE45AB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9051C">
              <w:rPr>
                <w:rFonts w:ascii="Calibri" w:eastAsia="Times New Roman" w:hAnsi="Calibri" w:cs="Times New Roman"/>
                <w:lang w:eastAsia="hu-HU"/>
              </w:rPr>
              <w:t xml:space="preserve">           36 021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D15" w:rsidRPr="00C9051C" w:rsidRDefault="001A7D15" w:rsidP="00AE45AB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9051C">
              <w:rPr>
                <w:rFonts w:ascii="Calibri" w:eastAsia="Times New Roman" w:hAnsi="Calibri" w:cs="Times New Roman"/>
                <w:lang w:eastAsia="hu-HU"/>
              </w:rPr>
              <w:t xml:space="preserve">           33 206    </w:t>
            </w:r>
          </w:p>
        </w:tc>
      </w:tr>
    </w:tbl>
    <w:p w:rsidR="00A1547C" w:rsidRDefault="00A1547C" w:rsidP="007C192C">
      <w:pPr>
        <w:jc w:val="both"/>
        <w:rPr>
          <w:sz w:val="28"/>
          <w:szCs w:val="28"/>
        </w:rPr>
      </w:pPr>
    </w:p>
    <w:p w:rsidR="00C9051C" w:rsidRPr="00C9051C" w:rsidRDefault="00C9051C" w:rsidP="00C9051C">
      <w:pPr>
        <w:jc w:val="both"/>
        <w:rPr>
          <w:sz w:val="28"/>
          <w:szCs w:val="28"/>
        </w:rPr>
      </w:pPr>
      <w:r w:rsidRPr="00C9051C">
        <w:rPr>
          <w:sz w:val="28"/>
          <w:szCs w:val="28"/>
        </w:rPr>
        <w:t xml:space="preserve">A </w:t>
      </w:r>
      <w:proofErr w:type="spellStart"/>
      <w:r w:rsidRPr="00C9051C">
        <w:rPr>
          <w:sz w:val="28"/>
          <w:szCs w:val="28"/>
        </w:rPr>
        <w:t>járóbeteg</w:t>
      </w:r>
      <w:proofErr w:type="spellEnd"/>
      <w:r w:rsidRPr="00C9051C">
        <w:rPr>
          <w:sz w:val="28"/>
          <w:szCs w:val="28"/>
        </w:rPr>
        <w:t xml:space="preserve"> szakellátás összesített betegforgalmi adataiban a 2016. évhez viszonyítva (36.021 fő) az esetszámok tekintetében </w:t>
      </w:r>
      <w:r w:rsidRPr="00C9051C">
        <w:rPr>
          <w:b/>
          <w:sz w:val="28"/>
          <w:szCs w:val="28"/>
        </w:rPr>
        <w:t xml:space="preserve">2815 fő csökkenés </w:t>
      </w:r>
      <w:r w:rsidRPr="00C9051C">
        <w:rPr>
          <w:sz w:val="28"/>
          <w:szCs w:val="28"/>
        </w:rPr>
        <w:t>volt tapasztalható. Az éves betegforgalomban a laboratóriumban ellá</w:t>
      </w:r>
      <w:r>
        <w:rPr>
          <w:sz w:val="28"/>
          <w:szCs w:val="28"/>
        </w:rPr>
        <w:t>tott betegek száma nincs benne!</w:t>
      </w:r>
    </w:p>
    <w:p w:rsidR="00C9051C" w:rsidRPr="00C9051C" w:rsidRDefault="00C9051C" w:rsidP="00C9051C">
      <w:pPr>
        <w:jc w:val="both"/>
        <w:rPr>
          <w:sz w:val="28"/>
          <w:szCs w:val="28"/>
        </w:rPr>
      </w:pPr>
      <w:r w:rsidRPr="00C9051C">
        <w:rPr>
          <w:sz w:val="28"/>
          <w:szCs w:val="28"/>
        </w:rPr>
        <w:t xml:space="preserve">Ez a csökkenés elsősorban a 2016. augusztus 1.-től bevezetett 8,33 %-os TVK csökkenés eredményének tudható be, de részben belső okokra is visszavezethető, melyek között személyi ok – egyes szakorvosok többszöri hiányzása – szerepel. Mindezen túl átmeneti szakorvoshiány is jelentkezett, amit viszont minőségi személyi változtatásokkal tudtunk orvosolni. </w:t>
      </w:r>
    </w:p>
    <w:p w:rsidR="00C9051C" w:rsidRPr="008D45C2" w:rsidRDefault="00C9051C" w:rsidP="00C9051C">
      <w:pPr>
        <w:jc w:val="both"/>
        <w:rPr>
          <w:sz w:val="28"/>
          <w:szCs w:val="28"/>
        </w:rPr>
      </w:pPr>
      <w:r w:rsidRPr="008D45C2">
        <w:rPr>
          <w:sz w:val="28"/>
          <w:szCs w:val="28"/>
        </w:rPr>
        <w:t>Ki</w:t>
      </w:r>
      <w:r w:rsidR="008D45C2" w:rsidRPr="008D45C2">
        <w:rPr>
          <w:sz w:val="28"/>
          <w:szCs w:val="28"/>
        </w:rPr>
        <w:t>emelendő, hogy betegforgalmunk 17,9</w:t>
      </w:r>
      <w:r w:rsidRPr="008D45C2">
        <w:rPr>
          <w:sz w:val="28"/>
          <w:szCs w:val="28"/>
        </w:rPr>
        <w:t xml:space="preserve"> %-át területen kívüli betegek teszik ki.  </w:t>
      </w:r>
    </w:p>
    <w:p w:rsidR="00A1547C" w:rsidRDefault="00A1547C" w:rsidP="007C192C">
      <w:pPr>
        <w:jc w:val="both"/>
        <w:rPr>
          <w:sz w:val="28"/>
          <w:szCs w:val="28"/>
          <w:highlight w:val="yellow"/>
        </w:rPr>
      </w:pPr>
    </w:p>
    <w:p w:rsidR="00A1547C" w:rsidRDefault="00A64835" w:rsidP="007C192C">
      <w:pPr>
        <w:jc w:val="both"/>
        <w:rPr>
          <w:sz w:val="28"/>
          <w:szCs w:val="28"/>
          <w:highlight w:val="yellow"/>
        </w:rPr>
      </w:pPr>
      <w:r>
        <w:rPr>
          <w:noProof/>
          <w:lang w:eastAsia="hu-HU"/>
        </w:rPr>
        <w:drawing>
          <wp:inline distT="0" distB="0" distL="0" distR="0" wp14:anchorId="2EE89D53" wp14:editId="2CE84F9F">
            <wp:extent cx="5054786" cy="4111625"/>
            <wp:effectExtent l="0" t="0" r="12700" b="3175"/>
            <wp:docPr id="2" name="Diagram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1547C" w:rsidRPr="00A1547C" w:rsidRDefault="00A1547C" w:rsidP="007C192C">
      <w:pPr>
        <w:jc w:val="both"/>
        <w:rPr>
          <w:sz w:val="28"/>
          <w:szCs w:val="28"/>
        </w:rPr>
      </w:pPr>
    </w:p>
    <w:p w:rsidR="006A1551" w:rsidRDefault="006A1551" w:rsidP="007C19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Intézetünk 2017. évre a </w:t>
      </w:r>
      <w:proofErr w:type="spellStart"/>
      <w:r>
        <w:rPr>
          <w:sz w:val="28"/>
          <w:szCs w:val="28"/>
        </w:rPr>
        <w:t>NEAK-tól</w:t>
      </w:r>
      <w:proofErr w:type="spellEnd"/>
      <w:r>
        <w:rPr>
          <w:sz w:val="28"/>
          <w:szCs w:val="28"/>
        </w:rPr>
        <w:t xml:space="preserve"> </w:t>
      </w:r>
      <w:r w:rsidR="004F6508">
        <w:rPr>
          <w:sz w:val="28"/>
          <w:szCs w:val="28"/>
        </w:rPr>
        <w:t xml:space="preserve">5.652.406 </w:t>
      </w:r>
      <w:r>
        <w:rPr>
          <w:sz w:val="28"/>
          <w:szCs w:val="28"/>
        </w:rPr>
        <w:t xml:space="preserve">jelenthető </w:t>
      </w:r>
      <w:proofErr w:type="spellStart"/>
      <w:r>
        <w:rPr>
          <w:sz w:val="28"/>
          <w:szCs w:val="28"/>
        </w:rPr>
        <w:t>járóbeteg</w:t>
      </w:r>
      <w:proofErr w:type="spellEnd"/>
      <w:r>
        <w:rPr>
          <w:sz w:val="28"/>
          <w:szCs w:val="28"/>
        </w:rPr>
        <w:t xml:space="preserve"> pont TVK-t kapott.</w:t>
      </w:r>
    </w:p>
    <w:p w:rsidR="006A1551" w:rsidRDefault="006A1551" w:rsidP="007C192C">
      <w:pPr>
        <w:jc w:val="both"/>
        <w:rPr>
          <w:sz w:val="28"/>
          <w:szCs w:val="28"/>
        </w:rPr>
      </w:pPr>
      <w:r>
        <w:rPr>
          <w:sz w:val="28"/>
          <w:szCs w:val="28"/>
        </w:rPr>
        <w:t>Ha összevetjük a NEAK által elfogadott pontok mennyiségét (</w:t>
      </w:r>
      <w:r w:rsidR="000D26FA">
        <w:rPr>
          <w:sz w:val="28"/>
          <w:szCs w:val="28"/>
        </w:rPr>
        <w:t>6.365.739</w:t>
      </w:r>
      <w:r>
        <w:rPr>
          <w:sz w:val="28"/>
          <w:szCs w:val="28"/>
        </w:rPr>
        <w:t>) a TVK kiszabottal me</w:t>
      </w:r>
      <w:r w:rsidR="00A1547C">
        <w:rPr>
          <w:sz w:val="28"/>
          <w:szCs w:val="28"/>
        </w:rPr>
        <w:t xml:space="preserve">gállapítható, hogy </w:t>
      </w:r>
      <w:r w:rsidR="00A1547C" w:rsidRPr="000D26FA">
        <w:rPr>
          <w:b/>
          <w:sz w:val="28"/>
          <w:szCs w:val="28"/>
        </w:rPr>
        <w:t>a</w:t>
      </w:r>
      <w:r w:rsidR="000D26FA">
        <w:rPr>
          <w:b/>
          <w:sz w:val="28"/>
          <w:szCs w:val="28"/>
        </w:rPr>
        <w:t>z éves átlag</w:t>
      </w:r>
      <w:r w:rsidR="00A1547C" w:rsidRPr="000D26FA">
        <w:rPr>
          <w:b/>
          <w:sz w:val="28"/>
          <w:szCs w:val="28"/>
        </w:rPr>
        <w:t xml:space="preserve"> teljesítés 112,62 </w:t>
      </w:r>
      <w:r w:rsidRPr="000D26FA">
        <w:rPr>
          <w:b/>
          <w:sz w:val="28"/>
          <w:szCs w:val="28"/>
        </w:rPr>
        <w:t>%-os</w:t>
      </w:r>
      <w:r>
        <w:rPr>
          <w:sz w:val="28"/>
          <w:szCs w:val="28"/>
        </w:rPr>
        <w:t xml:space="preserve">. </w:t>
      </w:r>
    </w:p>
    <w:p w:rsidR="006A1551" w:rsidRDefault="006A1551" w:rsidP="007C192C">
      <w:pPr>
        <w:jc w:val="both"/>
        <w:rPr>
          <w:sz w:val="28"/>
          <w:szCs w:val="28"/>
        </w:rPr>
      </w:pPr>
      <w:r>
        <w:rPr>
          <w:sz w:val="28"/>
          <w:szCs w:val="28"/>
        </w:rPr>
        <w:t>Minden negatív külső tényezőt is figyelembe véve, a lakosok járóbeteg szakellátása magas színvonalon, az országos és a megyei</w:t>
      </w:r>
      <w:r w:rsidR="00CE5AA0">
        <w:rPr>
          <w:sz w:val="28"/>
          <w:szCs w:val="28"/>
        </w:rPr>
        <w:t xml:space="preserve"> átlag felett valósult meg. Rendkívül nagy odafigyelést igényel, hogy a szabadságolási időszak alatt is biztosítani tudjuk a folyamatos betegellátást, és a feltorlódott betegek időben megkapják az ellátást. A torlódást azzal lehetne enyhíteni, ha a szabadságolás időszakára helyettesítésről tudnánk gondoskodni, de egyelőre kevés olyan szakellátás van, ahol ez megoldható. </w:t>
      </w:r>
    </w:p>
    <w:p w:rsidR="00CE5AA0" w:rsidRPr="004F6508" w:rsidRDefault="004F6508" w:rsidP="007C192C">
      <w:pPr>
        <w:jc w:val="both"/>
        <w:rPr>
          <w:b/>
          <w:sz w:val="28"/>
          <w:szCs w:val="28"/>
        </w:rPr>
      </w:pPr>
      <w:r w:rsidRPr="004F6508">
        <w:rPr>
          <w:b/>
          <w:sz w:val="28"/>
          <w:szCs w:val="28"/>
        </w:rPr>
        <w:t>Laboratóriumi ellátás</w:t>
      </w:r>
    </w:p>
    <w:p w:rsidR="00CE5AA0" w:rsidRDefault="00CE5AA0" w:rsidP="007C19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laboratóriumi diagnosztikai ellátás helye és szerepe a klinikai szakmák vonatkozásában rendkívül fontos, de mind a finanszírozás, mind az ellátás területén egy sajátos szakterületet képez. </w:t>
      </w:r>
    </w:p>
    <w:p w:rsidR="004F6508" w:rsidRDefault="004F6508" w:rsidP="007C192C">
      <w:pPr>
        <w:jc w:val="both"/>
        <w:rPr>
          <w:sz w:val="28"/>
          <w:szCs w:val="28"/>
        </w:rPr>
      </w:pPr>
      <w:r>
        <w:rPr>
          <w:sz w:val="28"/>
          <w:szCs w:val="28"/>
        </w:rPr>
        <w:t>2017. év július hónaptól kezdődően területi ellátási kötelezettségünk négy településsel (Rakamaz, Tímár, Tiszanagyfalu, Szabolcs) bővült. Sajnos a területi e</w:t>
      </w:r>
      <w:r w:rsidR="000D3547">
        <w:rPr>
          <w:sz w:val="28"/>
          <w:szCs w:val="28"/>
        </w:rPr>
        <w:t>llátási kötelezettség emelkedését nem követte a TVK emelkedés</w:t>
      </w:r>
      <w:r>
        <w:rPr>
          <w:sz w:val="28"/>
          <w:szCs w:val="28"/>
        </w:rPr>
        <w:t xml:space="preserve">. </w:t>
      </w:r>
    </w:p>
    <w:p w:rsidR="000D3547" w:rsidRDefault="00CE5AA0" w:rsidP="007C192C">
      <w:pPr>
        <w:jc w:val="both"/>
        <w:rPr>
          <w:sz w:val="28"/>
          <w:szCs w:val="28"/>
        </w:rPr>
      </w:pPr>
      <w:r>
        <w:rPr>
          <w:sz w:val="28"/>
          <w:szCs w:val="28"/>
        </w:rPr>
        <w:t>A laborató</w:t>
      </w:r>
      <w:r w:rsidR="000D3547">
        <w:rPr>
          <w:sz w:val="28"/>
          <w:szCs w:val="28"/>
        </w:rPr>
        <w:t xml:space="preserve">rium betegforgalma a 2016. évben 19.012 fő volt, míg 2017. évben 17.627 fő. Itt 1.385 fő csökkenés mutatkozik. </w:t>
      </w:r>
    </w:p>
    <w:p w:rsidR="004F6508" w:rsidRPr="00361C2D" w:rsidRDefault="00E65C32" w:rsidP="007C192C">
      <w:pPr>
        <w:jc w:val="both"/>
        <w:rPr>
          <w:sz w:val="28"/>
          <w:szCs w:val="28"/>
        </w:rPr>
      </w:pPr>
      <w:r>
        <w:rPr>
          <w:sz w:val="28"/>
          <w:szCs w:val="28"/>
        </w:rPr>
        <w:t>A NEAK a Társaság részére megállapított T</w:t>
      </w:r>
      <w:r w:rsidR="000D3547">
        <w:rPr>
          <w:sz w:val="28"/>
          <w:szCs w:val="28"/>
        </w:rPr>
        <w:t>V</w:t>
      </w:r>
      <w:r>
        <w:rPr>
          <w:sz w:val="28"/>
          <w:szCs w:val="28"/>
        </w:rPr>
        <w:t>K kiszabása felett csak lebegtetett</w:t>
      </w:r>
      <w:r w:rsidR="000D3547">
        <w:rPr>
          <w:sz w:val="28"/>
          <w:szCs w:val="28"/>
        </w:rPr>
        <w:t xml:space="preserve"> p</w:t>
      </w:r>
      <w:r>
        <w:rPr>
          <w:sz w:val="28"/>
          <w:szCs w:val="28"/>
        </w:rPr>
        <w:t>ontértéken finanszíroz,</w:t>
      </w:r>
      <w:r w:rsidR="000D3547">
        <w:rPr>
          <w:sz w:val="28"/>
          <w:szCs w:val="28"/>
        </w:rPr>
        <w:t xml:space="preserve"> mely</w:t>
      </w:r>
      <w:r>
        <w:rPr>
          <w:sz w:val="28"/>
          <w:szCs w:val="28"/>
        </w:rPr>
        <w:t xml:space="preserve"> jelentős veszteséget termel, mivel a valódi költségeket nem fedezi a </w:t>
      </w:r>
      <w:proofErr w:type="spellStart"/>
      <w:r>
        <w:rPr>
          <w:sz w:val="28"/>
          <w:szCs w:val="28"/>
        </w:rPr>
        <w:t>NEAK-tól</w:t>
      </w:r>
      <w:proofErr w:type="spellEnd"/>
      <w:r>
        <w:rPr>
          <w:sz w:val="28"/>
          <w:szCs w:val="28"/>
        </w:rPr>
        <w:t xml:space="preserve"> kapott térítés. A háziorvosok és a fekvőbeteg intézmények által kért </w:t>
      </w:r>
      <w:r w:rsidR="000D3547">
        <w:rPr>
          <w:sz w:val="28"/>
          <w:szCs w:val="28"/>
        </w:rPr>
        <w:t xml:space="preserve">laboratóriumi </w:t>
      </w:r>
      <w:r>
        <w:rPr>
          <w:sz w:val="28"/>
          <w:szCs w:val="28"/>
        </w:rPr>
        <w:t>vizsgálatok jelentős részét korlátoznunk kell, mert ellenkező esetben olyan többletkiadást jelent mely T</w:t>
      </w:r>
      <w:r w:rsidR="000D3547">
        <w:rPr>
          <w:sz w:val="28"/>
          <w:szCs w:val="28"/>
        </w:rPr>
        <w:t xml:space="preserve">ársaságunknál </w:t>
      </w:r>
      <w:r>
        <w:rPr>
          <w:sz w:val="28"/>
          <w:szCs w:val="28"/>
        </w:rPr>
        <w:t xml:space="preserve">kifejezett ráfizetést generál. </w:t>
      </w:r>
    </w:p>
    <w:p w:rsidR="007C192C" w:rsidRDefault="007C192C" w:rsidP="007C192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Védőnői szolgált és ifjúság-egészségügyi ellátás</w:t>
      </w:r>
    </w:p>
    <w:p w:rsidR="007C192C" w:rsidRDefault="00100651" w:rsidP="007C192C">
      <w:pPr>
        <w:jc w:val="both"/>
        <w:rPr>
          <w:sz w:val="28"/>
          <w:szCs w:val="28"/>
        </w:rPr>
      </w:pPr>
      <w:r w:rsidRPr="00967507">
        <w:rPr>
          <w:sz w:val="28"/>
          <w:szCs w:val="28"/>
        </w:rPr>
        <w:t xml:space="preserve">A </w:t>
      </w:r>
      <w:r w:rsidR="00967507">
        <w:rPr>
          <w:sz w:val="28"/>
          <w:szCs w:val="28"/>
        </w:rPr>
        <w:t>V</w:t>
      </w:r>
      <w:r w:rsidRPr="00967507">
        <w:rPr>
          <w:sz w:val="28"/>
          <w:szCs w:val="28"/>
        </w:rPr>
        <w:t xml:space="preserve">édőnői </w:t>
      </w:r>
      <w:r w:rsidR="00967507">
        <w:rPr>
          <w:sz w:val="28"/>
          <w:szCs w:val="28"/>
        </w:rPr>
        <w:t>S</w:t>
      </w:r>
      <w:r w:rsidRPr="00967507">
        <w:rPr>
          <w:sz w:val="28"/>
          <w:szCs w:val="28"/>
        </w:rPr>
        <w:t>zolgálat</w:t>
      </w:r>
      <w:r w:rsidR="00967507">
        <w:rPr>
          <w:sz w:val="28"/>
          <w:szCs w:val="28"/>
        </w:rPr>
        <w:t xml:space="preserve"> az egészségügyi alapellátás részeként a családok egészségének megőrzése, a betegségek kialakulásának a megelőzése érdekében végzi egészségnevelő tevékenységét. </w:t>
      </w:r>
    </w:p>
    <w:p w:rsidR="00967507" w:rsidRDefault="00967507" w:rsidP="007C19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Védőnői Szolgálat két, feladataiban eltérő részre tagolódik, a területi ellátásra, valamint az iskola-egészségügyi ellátásra. </w:t>
      </w:r>
    </w:p>
    <w:p w:rsidR="00967507" w:rsidRDefault="00967507" w:rsidP="007C19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Védőnői Szolgálat területi ellátásában 1 területi védőnői státusz engedélyezett, mely 1 fő állású területi védőnővel betöltött. </w:t>
      </w:r>
    </w:p>
    <w:p w:rsidR="00967507" w:rsidRDefault="00967507" w:rsidP="007C19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2016/2017. tanév második, illetve a 2017/2018. tanév első félévében a város 4 oktatási intézményében, az iskolaegészségügyi feladatokat 2 fő iskolavédőnő látta el főállásban. </w:t>
      </w:r>
    </w:p>
    <w:p w:rsidR="005739FE" w:rsidRDefault="005739FE" w:rsidP="007C19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Az iskolaorvosi feladatok ellátását 2016/2017. tanév második félévében dr. Nagy Pálma és dr. Kis Imre szakorvosok látták el. Dr. Nagy Pálma 2017. májusában – családi okok miatt – kérte a fizetés nélküli szabadság engedélyezését. Helyettesítésére dr. Juhász Mária szakorvossal kötöttünk szerződés, aki Szerencsen végez még iskolaorvosi feladatokat. </w:t>
      </w:r>
      <w:r w:rsidR="00DA002E">
        <w:rPr>
          <w:sz w:val="28"/>
          <w:szCs w:val="28"/>
        </w:rPr>
        <w:t xml:space="preserve">Jelenleg is ebben a formában látjuk el a feladatot. </w:t>
      </w:r>
    </w:p>
    <w:p w:rsidR="00DA002E" w:rsidRDefault="00DA002E" w:rsidP="007C19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Jelenleg is hirdetjük az álláshelyet, de jelentkező még nem volt.  </w:t>
      </w:r>
    </w:p>
    <w:p w:rsidR="00967507" w:rsidRPr="00967507" w:rsidRDefault="00DE5449" w:rsidP="007C19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védőnők a 126/2017. (VI.8.) Kormányrendelet értelmében bruttó 27.000,- Ft/hó összegű béremelésben részesültek 2017. november 1.-től. </w:t>
      </w:r>
      <w:r w:rsidR="00DA002E">
        <w:rPr>
          <w:sz w:val="28"/>
          <w:szCs w:val="28"/>
        </w:rPr>
        <w:t xml:space="preserve">A béremelés fedezetét „védőnői kiegészítő pótlék” jogcímen utalja át a NEAK. </w:t>
      </w:r>
    </w:p>
    <w:p w:rsidR="008D45C2" w:rsidRDefault="008D45C2" w:rsidP="007C192C">
      <w:pPr>
        <w:jc w:val="both"/>
        <w:rPr>
          <w:b/>
          <w:sz w:val="28"/>
          <w:szCs w:val="28"/>
        </w:rPr>
      </w:pPr>
    </w:p>
    <w:p w:rsidR="007C192C" w:rsidRDefault="007C192C" w:rsidP="007C192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Házi szakápolás</w:t>
      </w:r>
    </w:p>
    <w:p w:rsidR="005739FE" w:rsidRDefault="005739FE" w:rsidP="007C192C">
      <w:pPr>
        <w:jc w:val="both"/>
        <w:rPr>
          <w:sz w:val="28"/>
          <w:szCs w:val="28"/>
        </w:rPr>
      </w:pPr>
      <w:r w:rsidRPr="00DE5449">
        <w:rPr>
          <w:sz w:val="28"/>
          <w:szCs w:val="28"/>
        </w:rPr>
        <w:t>A területre jutó vizitszámok és finanszírozás meghatározása a 43/1999. (III:3.) Korm. rendelet ide vonatkozó szabályi szerint történik. A finanszírozási szerződésben lekötött normatív kapacitás összesen</w:t>
      </w:r>
      <w:r w:rsidR="00DA002E">
        <w:rPr>
          <w:sz w:val="28"/>
          <w:szCs w:val="28"/>
        </w:rPr>
        <w:t xml:space="preserve"> 57</w:t>
      </w:r>
      <w:r w:rsidRPr="00DE5449">
        <w:rPr>
          <w:sz w:val="28"/>
          <w:szCs w:val="28"/>
        </w:rPr>
        <w:t xml:space="preserve"> db havi vizit, melyből </w:t>
      </w:r>
      <w:r w:rsidR="00DA002E">
        <w:rPr>
          <w:sz w:val="28"/>
          <w:szCs w:val="28"/>
        </w:rPr>
        <w:t>40 db szakápolási szolgáltatásra, 17 db szakirányú terápiás szolgáltatásra tagozódik</w:t>
      </w:r>
      <w:r w:rsidRPr="00DE544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739FE" w:rsidRDefault="005739FE" w:rsidP="007C19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tevékenységet </w:t>
      </w:r>
      <w:proofErr w:type="spellStart"/>
      <w:r>
        <w:rPr>
          <w:sz w:val="28"/>
          <w:szCs w:val="28"/>
        </w:rPr>
        <w:t>Tóvizi</w:t>
      </w:r>
      <w:proofErr w:type="spellEnd"/>
      <w:r>
        <w:rPr>
          <w:sz w:val="28"/>
          <w:szCs w:val="28"/>
        </w:rPr>
        <w:t xml:space="preserve"> Tamás vállalkozóval látatjuk el, vállalkozási szerződés alapján. </w:t>
      </w:r>
    </w:p>
    <w:p w:rsidR="005739FE" w:rsidRDefault="005739FE" w:rsidP="007C192C">
      <w:pPr>
        <w:jc w:val="both"/>
        <w:rPr>
          <w:sz w:val="28"/>
          <w:szCs w:val="28"/>
        </w:rPr>
      </w:pPr>
    </w:p>
    <w:p w:rsidR="005739FE" w:rsidRDefault="005739FE" w:rsidP="007C192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Foglalkozás - egészségügy </w:t>
      </w:r>
    </w:p>
    <w:p w:rsidR="006F7FC1" w:rsidRPr="00C45154" w:rsidRDefault="00F91CA6" w:rsidP="007C192C">
      <w:pPr>
        <w:jc w:val="both"/>
        <w:rPr>
          <w:sz w:val="28"/>
          <w:szCs w:val="28"/>
        </w:rPr>
      </w:pPr>
      <w:r w:rsidRPr="00C45154">
        <w:rPr>
          <w:sz w:val="28"/>
          <w:szCs w:val="28"/>
        </w:rPr>
        <w:t>2017. évben</w:t>
      </w:r>
      <w:r w:rsidR="00C45154">
        <w:rPr>
          <w:sz w:val="28"/>
          <w:szCs w:val="28"/>
        </w:rPr>
        <w:t xml:space="preserve"> folytattuk foglalkozás egészségügyi tevékenységünket. </w:t>
      </w:r>
      <w:r w:rsidR="006777A0">
        <w:rPr>
          <w:sz w:val="28"/>
          <w:szCs w:val="28"/>
        </w:rPr>
        <w:t xml:space="preserve">2017 évben valamennyi önkormányzati intézmény ellátását </w:t>
      </w:r>
      <w:r w:rsidR="009B56C1">
        <w:rPr>
          <w:sz w:val="28"/>
          <w:szCs w:val="28"/>
        </w:rPr>
        <w:t>megkaptuk,</w:t>
      </w:r>
      <w:r w:rsidR="006777A0">
        <w:rPr>
          <w:sz w:val="28"/>
          <w:szCs w:val="28"/>
        </w:rPr>
        <w:t xml:space="preserve"> ami 215 fő ellátását jelenti.</w:t>
      </w:r>
    </w:p>
    <w:p w:rsidR="0016599D" w:rsidRDefault="00963705" w:rsidP="007C19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Örvendetesen emelkedett a betegforgalom, ami a bevételek </w:t>
      </w:r>
      <w:r w:rsidR="0016599D">
        <w:rPr>
          <w:sz w:val="28"/>
          <w:szCs w:val="28"/>
        </w:rPr>
        <w:t xml:space="preserve">kismértékű </w:t>
      </w:r>
      <w:r>
        <w:rPr>
          <w:sz w:val="28"/>
          <w:szCs w:val="28"/>
        </w:rPr>
        <w:t xml:space="preserve">emelkedését is jelenti. Az ügyfelek megtartása </w:t>
      </w:r>
      <w:r w:rsidR="0016599D">
        <w:rPr>
          <w:sz w:val="28"/>
          <w:szCs w:val="28"/>
        </w:rPr>
        <w:t xml:space="preserve">azonban </w:t>
      </w:r>
      <w:r>
        <w:rPr>
          <w:sz w:val="28"/>
          <w:szCs w:val="28"/>
        </w:rPr>
        <w:t xml:space="preserve">nagyfokú rugalmasságot igényel. </w:t>
      </w:r>
    </w:p>
    <w:p w:rsidR="00963705" w:rsidRDefault="0016599D" w:rsidP="007C19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Betegforgalmi adataink az alábbiak szerint alakultak 2017 évben: </w:t>
      </w:r>
    </w:p>
    <w:p w:rsidR="00963705" w:rsidRDefault="00963705" w:rsidP="007C192C">
      <w:pPr>
        <w:jc w:val="both"/>
        <w:rPr>
          <w:sz w:val="28"/>
          <w:szCs w:val="28"/>
        </w:rPr>
      </w:pPr>
      <w:r>
        <w:rPr>
          <w:sz w:val="28"/>
          <w:szCs w:val="28"/>
        </w:rPr>
        <w:t>Alkalmassági vizsgálatok száma:</w:t>
      </w:r>
      <w:r w:rsidR="009B56C1">
        <w:rPr>
          <w:sz w:val="28"/>
          <w:szCs w:val="28"/>
        </w:rPr>
        <w:t xml:space="preserve"> 359 fő, </w:t>
      </w:r>
    </w:p>
    <w:p w:rsidR="00963705" w:rsidRDefault="00963705" w:rsidP="007C192C">
      <w:pPr>
        <w:jc w:val="both"/>
        <w:rPr>
          <w:sz w:val="28"/>
          <w:szCs w:val="28"/>
        </w:rPr>
      </w:pPr>
      <w:r>
        <w:rPr>
          <w:sz w:val="28"/>
          <w:szCs w:val="28"/>
        </w:rPr>
        <w:t>Menedzserszűrések száma:</w:t>
      </w:r>
      <w:r w:rsidR="009B56C1">
        <w:rPr>
          <w:sz w:val="28"/>
          <w:szCs w:val="28"/>
        </w:rPr>
        <w:t xml:space="preserve"> 11 </w:t>
      </w:r>
      <w:r w:rsidR="00970614">
        <w:rPr>
          <w:sz w:val="28"/>
          <w:szCs w:val="28"/>
        </w:rPr>
        <w:t>fő</w:t>
      </w:r>
      <w:r w:rsidR="009B56C1">
        <w:rPr>
          <w:sz w:val="28"/>
          <w:szCs w:val="28"/>
        </w:rPr>
        <w:t>,</w:t>
      </w:r>
    </w:p>
    <w:p w:rsidR="00C62B03" w:rsidRDefault="00963705" w:rsidP="007C192C">
      <w:pPr>
        <w:jc w:val="both"/>
        <w:rPr>
          <w:sz w:val="28"/>
          <w:szCs w:val="28"/>
        </w:rPr>
      </w:pPr>
      <w:r>
        <w:rPr>
          <w:sz w:val="28"/>
          <w:szCs w:val="28"/>
        </w:rPr>
        <w:t>A közcélú munkavállalók száma:</w:t>
      </w:r>
      <w:r w:rsidR="009B56C1">
        <w:rPr>
          <w:sz w:val="28"/>
          <w:szCs w:val="28"/>
        </w:rPr>
        <w:t xml:space="preserve"> 128 fő </w:t>
      </w:r>
    </w:p>
    <w:p w:rsidR="00C62B03" w:rsidRDefault="00C62B03" w:rsidP="007C192C">
      <w:pPr>
        <w:jc w:val="both"/>
        <w:rPr>
          <w:b/>
          <w:sz w:val="28"/>
          <w:szCs w:val="28"/>
        </w:rPr>
      </w:pPr>
      <w:r w:rsidRPr="00C62B03">
        <w:rPr>
          <w:b/>
          <w:sz w:val="28"/>
          <w:szCs w:val="28"/>
        </w:rPr>
        <w:t>Pályázataink</w:t>
      </w:r>
    </w:p>
    <w:p w:rsidR="00C62B03" w:rsidRDefault="00C62B03" w:rsidP="007C19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2017 évben társaságunk két pályázatot nyújtott be. </w:t>
      </w:r>
    </w:p>
    <w:p w:rsidR="008D45C2" w:rsidRPr="008D45C2" w:rsidRDefault="008D45C2" w:rsidP="008D45C2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i/>
          <w:sz w:val="28"/>
        </w:rPr>
      </w:pPr>
      <w:r w:rsidRPr="008D45C2">
        <w:rPr>
          <w:rFonts w:ascii="Calibri" w:eastAsia="Calibri" w:hAnsi="Calibri" w:cs="Times New Roman"/>
          <w:i/>
          <w:sz w:val="28"/>
        </w:rPr>
        <w:t>Pályázati azonosító: EFOP- 2.2.19-17-2017-00114</w:t>
      </w:r>
    </w:p>
    <w:p w:rsidR="008D45C2" w:rsidRPr="008D45C2" w:rsidRDefault="008D45C2" w:rsidP="008D45C2">
      <w:pPr>
        <w:spacing w:after="0" w:line="240" w:lineRule="auto"/>
        <w:ind w:left="720"/>
        <w:jc w:val="both"/>
        <w:rPr>
          <w:rFonts w:ascii="Calibri" w:eastAsia="Calibri" w:hAnsi="Calibri" w:cs="Times New Roman"/>
          <w:i/>
          <w:sz w:val="28"/>
        </w:rPr>
      </w:pPr>
      <w:r w:rsidRPr="008D45C2">
        <w:rPr>
          <w:rFonts w:ascii="Calibri" w:eastAsia="Calibri" w:hAnsi="Calibri" w:cs="Times New Roman"/>
          <w:i/>
          <w:sz w:val="28"/>
        </w:rPr>
        <w:t>Pályázati forrás: Európai Regionális Fejlesztési Alap és Magyarország költségvetése</w:t>
      </w:r>
    </w:p>
    <w:p w:rsidR="008D45C2" w:rsidRPr="008D45C2" w:rsidRDefault="008D45C2" w:rsidP="008D45C2">
      <w:pPr>
        <w:spacing w:after="0" w:line="240" w:lineRule="auto"/>
        <w:ind w:left="720"/>
        <w:jc w:val="both"/>
        <w:rPr>
          <w:rFonts w:ascii="Calibri" w:eastAsia="Calibri" w:hAnsi="Calibri" w:cs="Times New Roman"/>
          <w:i/>
          <w:sz w:val="28"/>
        </w:rPr>
      </w:pPr>
      <w:r w:rsidRPr="008D45C2">
        <w:rPr>
          <w:rFonts w:ascii="Calibri" w:eastAsia="Calibri" w:hAnsi="Calibri" w:cs="Times New Roman"/>
          <w:i/>
          <w:sz w:val="28"/>
        </w:rPr>
        <w:t>Pályázó neve: Tokaji Egészségfejlesztő Központ Nonprofit Korlátolt Felelősségű Társaság</w:t>
      </w:r>
    </w:p>
    <w:p w:rsidR="008D45C2" w:rsidRPr="008D45C2" w:rsidRDefault="008D45C2" w:rsidP="008D45C2">
      <w:pPr>
        <w:spacing w:after="0" w:line="240" w:lineRule="auto"/>
        <w:ind w:firstLine="709"/>
        <w:rPr>
          <w:rFonts w:ascii="Calibri" w:eastAsia="Calibri" w:hAnsi="Calibri" w:cs="Times New Roman"/>
          <w:b/>
          <w:sz w:val="28"/>
        </w:rPr>
      </w:pPr>
      <w:r w:rsidRPr="008D45C2">
        <w:rPr>
          <w:rFonts w:ascii="Calibri" w:eastAsia="Calibri" w:hAnsi="Calibri" w:cs="Times New Roman"/>
          <w:b/>
          <w:sz w:val="28"/>
        </w:rPr>
        <w:t>Támogatás igény: 299.228.431,- Ft.</w:t>
      </w:r>
    </w:p>
    <w:p w:rsidR="008D45C2" w:rsidRPr="008D45C2" w:rsidRDefault="008D45C2" w:rsidP="008D45C2">
      <w:pPr>
        <w:pStyle w:val="Listaszerbekezds"/>
        <w:numPr>
          <w:ilvl w:val="0"/>
          <w:numId w:val="5"/>
        </w:numPr>
        <w:spacing w:after="0" w:line="240" w:lineRule="auto"/>
        <w:rPr>
          <w:rFonts w:ascii="Calibri" w:eastAsia="Calibri" w:hAnsi="Calibri" w:cs="Times New Roman"/>
          <w:b/>
          <w:sz w:val="28"/>
        </w:rPr>
      </w:pPr>
      <w:r w:rsidRPr="008D45C2">
        <w:rPr>
          <w:rFonts w:ascii="Calibri" w:eastAsia="Calibri" w:hAnsi="Calibri" w:cs="Times New Roman"/>
          <w:b/>
          <w:sz w:val="28"/>
        </w:rPr>
        <w:t>támogatású</w:t>
      </w:r>
    </w:p>
    <w:p w:rsidR="008D45C2" w:rsidRDefault="008D45C2" w:rsidP="007C192C">
      <w:pPr>
        <w:jc w:val="both"/>
        <w:rPr>
          <w:sz w:val="28"/>
          <w:szCs w:val="28"/>
        </w:rPr>
      </w:pPr>
    </w:p>
    <w:p w:rsidR="008D45C2" w:rsidRPr="008D45C2" w:rsidRDefault="008D45C2" w:rsidP="008D45C2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sz w:val="28"/>
        </w:rPr>
      </w:pPr>
      <w:r w:rsidRPr="008D45C2">
        <w:rPr>
          <w:rFonts w:ascii="Calibri" w:eastAsia="Calibri" w:hAnsi="Calibri" w:cs="Times New Roman"/>
          <w:i/>
          <w:sz w:val="28"/>
        </w:rPr>
        <w:t>EFOP-1.8.20-17 - Az alapellátás és népegészségügy rendszerének átfogó fejlesztése - népegészségügy helyi kapacitás fejlesztése a mentális egészség területén</w:t>
      </w:r>
    </w:p>
    <w:p w:rsidR="008D45C2" w:rsidRPr="008D45C2" w:rsidRDefault="008D45C2" w:rsidP="008D45C2">
      <w:pPr>
        <w:spacing w:after="0" w:line="240" w:lineRule="auto"/>
        <w:ind w:left="720"/>
        <w:jc w:val="both"/>
        <w:rPr>
          <w:rFonts w:ascii="Calibri" w:eastAsia="Calibri" w:hAnsi="Calibri" w:cs="Times New Roman"/>
          <w:b/>
          <w:sz w:val="28"/>
        </w:rPr>
      </w:pPr>
      <w:r w:rsidRPr="008D45C2">
        <w:rPr>
          <w:rFonts w:ascii="Calibri" w:eastAsia="Calibri" w:hAnsi="Calibri" w:cs="Times New Roman"/>
          <w:b/>
          <w:sz w:val="28"/>
        </w:rPr>
        <w:t xml:space="preserve">Támogatási igény: 40.000.000,- Ft. </w:t>
      </w:r>
    </w:p>
    <w:p w:rsidR="008D45C2" w:rsidRPr="00E1166B" w:rsidRDefault="008D45C2" w:rsidP="00E1166B">
      <w:pPr>
        <w:spacing w:after="0" w:line="240" w:lineRule="auto"/>
        <w:ind w:left="720"/>
        <w:jc w:val="both"/>
        <w:rPr>
          <w:rFonts w:ascii="Calibri" w:eastAsia="Calibri" w:hAnsi="Calibri" w:cs="Times New Roman"/>
          <w:b/>
          <w:sz w:val="28"/>
        </w:rPr>
      </w:pPr>
      <w:r w:rsidRPr="008D45C2">
        <w:rPr>
          <w:rFonts w:ascii="Calibri" w:eastAsia="Calibri" w:hAnsi="Calibri" w:cs="Times New Roman"/>
          <w:b/>
          <w:sz w:val="28"/>
        </w:rPr>
        <w:t>100 % támogatású</w:t>
      </w:r>
    </w:p>
    <w:p w:rsidR="0020184F" w:rsidRDefault="0020184F" w:rsidP="007C19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Eredményhirdetés egyik pályázatunk esetében sem történt a mai napig. </w:t>
      </w:r>
    </w:p>
    <w:p w:rsidR="00F0439F" w:rsidRDefault="00F0439F" w:rsidP="007C192C">
      <w:pPr>
        <w:jc w:val="both"/>
        <w:rPr>
          <w:b/>
          <w:sz w:val="28"/>
          <w:szCs w:val="28"/>
        </w:rPr>
      </w:pPr>
      <w:r w:rsidRPr="00F0439F">
        <w:rPr>
          <w:b/>
          <w:sz w:val="28"/>
          <w:szCs w:val="28"/>
        </w:rPr>
        <w:t>Egészségfejlesztési Iroda működése</w:t>
      </w:r>
    </w:p>
    <w:p w:rsidR="0020184F" w:rsidRDefault="0020184F" w:rsidP="007C19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Az Egészségfejlesztési Iroda működését az Emberi Erőforrások Minisztériuma külön forrásból biztosítja. Sajnálatos módon a finanszírozás összege 2017. december 12.-én érkezett meg. Az egész évben megszervezett és lebonyolított programjainkat részben saját forrásból biztosítottuk, részben pedig olyan szerződést kötöttünk a lebonyolításban résztvevő alvállalkozókkal, akik vállalták, hogy csak akkor kapják meg a számlájuk ellenértékét, amikor a támogatás részünkre megérkezik. </w:t>
      </w:r>
    </w:p>
    <w:p w:rsidR="0020184F" w:rsidRDefault="0020184F" w:rsidP="007C19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programok egyre népszerűbbek a lakosság körében. Kiemelendő a mozgásprogramokon (torna, futóklub, </w:t>
      </w:r>
      <w:proofErr w:type="spellStart"/>
      <w:r>
        <w:rPr>
          <w:sz w:val="28"/>
          <w:szCs w:val="28"/>
        </w:rPr>
        <w:t>nordic</w:t>
      </w:r>
      <w:proofErr w:type="spellEnd"/>
      <w:r>
        <w:rPr>
          <w:sz w:val="28"/>
          <w:szCs w:val="28"/>
        </w:rPr>
        <w:t xml:space="preserve"> klub,) és az egészségfejlesztő előadásokon résztvevők száma folyamatosan emelkedik. 2017. évben is indítottunk úszó tanfolyamot, melyet a szerencsi uszodában bonyolítottunk le. A kistérségben lévő települések lakosait is egyre nagyobb számban tudjuk bevonni programjainkba. </w:t>
      </w:r>
    </w:p>
    <w:p w:rsidR="0020184F" w:rsidRDefault="0020184F" w:rsidP="007C192C">
      <w:pPr>
        <w:jc w:val="both"/>
        <w:rPr>
          <w:b/>
          <w:sz w:val="28"/>
          <w:szCs w:val="28"/>
        </w:rPr>
      </w:pPr>
      <w:r w:rsidRPr="0020184F">
        <w:rPr>
          <w:b/>
          <w:sz w:val="28"/>
          <w:szCs w:val="28"/>
        </w:rPr>
        <w:t>Összefoglalás</w:t>
      </w:r>
    </w:p>
    <w:p w:rsidR="00C027FF" w:rsidRDefault="0020184F" w:rsidP="007C192C">
      <w:pPr>
        <w:jc w:val="both"/>
        <w:rPr>
          <w:sz w:val="28"/>
          <w:szCs w:val="28"/>
        </w:rPr>
      </w:pPr>
      <w:r>
        <w:rPr>
          <w:sz w:val="28"/>
          <w:szCs w:val="28"/>
        </w:rPr>
        <w:t>2017. évi működ</w:t>
      </w:r>
      <w:r w:rsidR="00C027FF">
        <w:rPr>
          <w:sz w:val="28"/>
          <w:szCs w:val="28"/>
        </w:rPr>
        <w:t xml:space="preserve">ésünkről készült tájékoztatónkban az Önkormányzattal megkötött Feladatátadási Szerződésben vállalt kötelezettségek teljesítéséről adtunk tájékoztatást. </w:t>
      </w:r>
    </w:p>
    <w:p w:rsidR="00C027FF" w:rsidRDefault="00C027FF" w:rsidP="007C19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Ebben az évben is biztosítani tudtuk a gyógyító munkához szükséges személyi és tárgyi feltételeket úgy, hogy közben Társaságunk pénzügyi egyensúlyát folyamatosan fenntartottuk. </w:t>
      </w:r>
    </w:p>
    <w:p w:rsidR="00C027FF" w:rsidRDefault="00C027FF" w:rsidP="007C192C">
      <w:pPr>
        <w:jc w:val="both"/>
        <w:rPr>
          <w:sz w:val="28"/>
          <w:szCs w:val="28"/>
        </w:rPr>
      </w:pPr>
      <w:r>
        <w:rPr>
          <w:sz w:val="28"/>
          <w:szCs w:val="28"/>
        </w:rPr>
        <w:t>Intézményünk az ellátottak érdekét messzemenően szem előtt tartva megkülönböztetett figyelmet fordított a gyógyító tevékenység szakmai színvonalának megőrzésére és fejlesztésére, és a gazdaságos működtetésre.</w:t>
      </w:r>
    </w:p>
    <w:p w:rsidR="00C027FF" w:rsidRDefault="00C027FF" w:rsidP="007C192C">
      <w:pPr>
        <w:jc w:val="both"/>
        <w:rPr>
          <w:sz w:val="28"/>
          <w:szCs w:val="28"/>
        </w:rPr>
      </w:pPr>
      <w:r>
        <w:rPr>
          <w:sz w:val="28"/>
          <w:szCs w:val="28"/>
        </w:rPr>
        <w:t>Tokaj, 2018. február 1.</w:t>
      </w:r>
    </w:p>
    <w:p w:rsidR="00C027FF" w:rsidRDefault="00C027FF" w:rsidP="00C027FF">
      <w:pPr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>Dr. Szentesiné dr. Sallai Zsuzsanna</w:t>
      </w:r>
    </w:p>
    <w:p w:rsidR="001A7F4C" w:rsidRPr="001A7F4C" w:rsidRDefault="00E1166B" w:rsidP="00E1166B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>ügyvezető igazgató</w:t>
      </w:r>
      <w:bookmarkStart w:id="0" w:name="_GoBack"/>
      <w:bookmarkEnd w:id="0"/>
    </w:p>
    <w:sectPr w:rsidR="001A7F4C" w:rsidRPr="001A7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E7EB3"/>
    <w:multiLevelType w:val="hybridMultilevel"/>
    <w:tmpl w:val="477E237E"/>
    <w:lvl w:ilvl="0" w:tplc="236097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7B4198"/>
    <w:multiLevelType w:val="hybridMultilevel"/>
    <w:tmpl w:val="E39C68F2"/>
    <w:lvl w:ilvl="0" w:tplc="2F46212C">
      <w:start w:val="100"/>
      <w:numFmt w:val="decimal"/>
      <w:lvlText w:val="%1"/>
      <w:lvlJc w:val="left"/>
      <w:pPr>
        <w:ind w:left="1159" w:hanging="45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CF2905"/>
    <w:multiLevelType w:val="hybridMultilevel"/>
    <w:tmpl w:val="F03A6A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E56EF1"/>
    <w:multiLevelType w:val="hybridMultilevel"/>
    <w:tmpl w:val="DAE2A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FE5A3C"/>
    <w:multiLevelType w:val="hybridMultilevel"/>
    <w:tmpl w:val="89F022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E33"/>
    <w:rsid w:val="000D26FA"/>
    <w:rsid w:val="000D3547"/>
    <w:rsid w:val="00100651"/>
    <w:rsid w:val="0016599D"/>
    <w:rsid w:val="001A7D15"/>
    <w:rsid w:val="001A7F4C"/>
    <w:rsid w:val="0020184F"/>
    <w:rsid w:val="0027083F"/>
    <w:rsid w:val="002756A2"/>
    <w:rsid w:val="00280855"/>
    <w:rsid w:val="00361C2D"/>
    <w:rsid w:val="00494957"/>
    <w:rsid w:val="004F6508"/>
    <w:rsid w:val="005739FE"/>
    <w:rsid w:val="006777A0"/>
    <w:rsid w:val="006A1551"/>
    <w:rsid w:val="006D21D9"/>
    <w:rsid w:val="006F7FC1"/>
    <w:rsid w:val="007B0DDE"/>
    <w:rsid w:val="007C192C"/>
    <w:rsid w:val="00801182"/>
    <w:rsid w:val="0080513C"/>
    <w:rsid w:val="008B0B28"/>
    <w:rsid w:val="008D45C2"/>
    <w:rsid w:val="00963705"/>
    <w:rsid w:val="00967507"/>
    <w:rsid w:val="00970614"/>
    <w:rsid w:val="009772E9"/>
    <w:rsid w:val="009B56C1"/>
    <w:rsid w:val="00A1547C"/>
    <w:rsid w:val="00A64835"/>
    <w:rsid w:val="00AA5E8E"/>
    <w:rsid w:val="00AC12E8"/>
    <w:rsid w:val="00AE45AB"/>
    <w:rsid w:val="00BC2E33"/>
    <w:rsid w:val="00C027FF"/>
    <w:rsid w:val="00C45154"/>
    <w:rsid w:val="00C62B03"/>
    <w:rsid w:val="00C9051C"/>
    <w:rsid w:val="00CD0BBF"/>
    <w:rsid w:val="00CE5AA0"/>
    <w:rsid w:val="00DA002E"/>
    <w:rsid w:val="00DB481D"/>
    <w:rsid w:val="00DE5449"/>
    <w:rsid w:val="00E1166B"/>
    <w:rsid w:val="00E65C32"/>
    <w:rsid w:val="00F0439F"/>
    <w:rsid w:val="00F135AB"/>
    <w:rsid w:val="00F9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A7F4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1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116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A7F4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1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11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0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Relationship Id="rId4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hu-HU"/>
              <a:t>Betegforgalom alakulása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spPr>
            <a:solidFill>
              <a:schemeClr val="accent6">
                <a:tint val="77000"/>
              </a:schemeClr>
            </a:solidFill>
            <a:ln>
              <a:noFill/>
            </a:ln>
            <a:effectLst/>
          </c:spPr>
          <c:invertIfNegative val="0"/>
          <c:dPt>
            <c:idx val="6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</c:dPt>
          <c:dLbls>
            <c:dLbl>
              <c:idx val="1"/>
              <c:layout>
                <c:manualLayout>
                  <c:x val="-5.092533763208031E-17"/>
                  <c:y val="-1.85328185328185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'éves bontás'!$AC$2:$AG$2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'éves bontás'!$AC$19:$AG$19</c:f>
              <c:numCache>
                <c:formatCode>0</c:formatCode>
                <c:ptCount val="5"/>
                <c:pt idx="0" formatCode="General">
                  <c:v>34165</c:v>
                </c:pt>
                <c:pt idx="1">
                  <c:v>36361</c:v>
                </c:pt>
                <c:pt idx="2" formatCode="General">
                  <c:v>38197</c:v>
                </c:pt>
                <c:pt idx="3">
                  <c:v>36021</c:v>
                </c:pt>
                <c:pt idx="4" formatCode="General">
                  <c:v>33206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76887936"/>
        <c:axId val="168014208"/>
      </c:barChart>
      <c:lineChart>
        <c:grouping val="standard"/>
        <c:varyColors val="0"/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6887936"/>
        <c:axId val="168014208"/>
        <c:extLst>
          <c:ext xmlns:c15="http://schemas.microsoft.com/office/drawing/2012/chart" uri="{02D57815-91ED-43cb-92C2-25804820EDAC}">
            <c15:filteredLineSeries>
              <c15:ser>
                <c:idx val="0"/>
                <c:order val="1"/>
                <c:spPr>
                  <a:ln w="28575" cap="rnd" cmpd="sng" algn="ctr">
                    <a:solidFill>
                      <a:schemeClr val="accent6">
                        <a:shade val="76000"/>
                        <a:shade val="95000"/>
                        <a:satMod val="105000"/>
                      </a:schemeClr>
                    </a:solidFill>
                    <a:prstDash val="solid"/>
                    <a:round/>
                  </a:ln>
                  <a:effectLst/>
                </c:spPr>
                <c:marker>
                  <c:symbol val="none"/>
                </c:marker>
                <c:val>
                  <c:numRef>
                    <c:extLst>
                      <c:ext uri="{02D57815-91ED-43cb-92C2-25804820EDAC}">
                        <c15:formulaRef>
                          <c15:sqref>'éves bontás'!$AA$20:$AF$20</c15:sqref>
                        </c15:formulaRef>
                      </c:ext>
                    </c:extLst>
                    <c:numCache>
                      <c:formatCode>General</c:formatCode>
                      <c:ptCount val="6"/>
                      <c:pt idx="0">
                        <c:v>33326</c:v>
                      </c:pt>
                      <c:pt idx="1">
                        <c:v>33326</c:v>
                      </c:pt>
                      <c:pt idx="2">
                        <c:v>33326</c:v>
                      </c:pt>
                      <c:pt idx="3">
                        <c:v>33326</c:v>
                      </c:pt>
                      <c:pt idx="4">
                        <c:v>33326</c:v>
                      </c:pt>
                      <c:pt idx="5">
                        <c:v>33326</c:v>
                      </c:pt>
                    </c:numCache>
                  </c:numRef>
                </c:val>
                <c:smooth val="0"/>
              </c15:ser>
            </c15:filteredLineSeries>
          </c:ext>
        </c:extLst>
      </c:lineChart>
      <c:catAx>
        <c:axId val="768879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168014208"/>
        <c:crosses val="autoZero"/>
        <c:auto val="1"/>
        <c:lblAlgn val="ctr"/>
        <c:lblOffset val="100"/>
        <c:noMultiLvlLbl val="0"/>
      </c:catAx>
      <c:valAx>
        <c:axId val="168014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76887936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6350" cap="flat" cmpd="sng" algn="ctr">
      <a:solidFill>
        <a:schemeClr val="tx1">
          <a:tint val="75000"/>
        </a:schemeClr>
      </a:solidFill>
      <a:prstDash val="solid"/>
      <a:round/>
    </a:ln>
    <a:effectLst/>
  </c:spPr>
  <c:txPr>
    <a:bodyPr/>
    <a:lstStyle/>
    <a:p>
      <a:pPr>
        <a:defRPr/>
      </a:pPr>
      <a:endParaRPr lang="hu-HU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1640</Words>
  <Characters>11317</Characters>
  <Application>Microsoft Office Word</Application>
  <DocSecurity>4</DocSecurity>
  <Lines>94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Sallai Zsuzsanna</dc:creator>
  <cp:lastModifiedBy>Lilla Varga</cp:lastModifiedBy>
  <cp:revision>2</cp:revision>
  <dcterms:created xsi:type="dcterms:W3CDTF">2018-02-01T09:55:00Z</dcterms:created>
  <dcterms:modified xsi:type="dcterms:W3CDTF">2018-02-01T09:55:00Z</dcterms:modified>
</cp:coreProperties>
</file>