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3F" w:rsidRDefault="008815C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Tokaj Város Önkormányzata Képviselő-testületének </w:t>
      </w:r>
      <w:r w:rsidR="007A2C74">
        <w:rPr>
          <w:b/>
          <w:bCs/>
        </w:rPr>
        <w:t>18</w:t>
      </w:r>
      <w:r>
        <w:rPr>
          <w:b/>
          <w:bCs/>
        </w:rPr>
        <w:t>/2022. (XI. 1</w:t>
      </w:r>
      <w:r w:rsidR="007A2C74">
        <w:rPr>
          <w:b/>
          <w:bCs/>
        </w:rPr>
        <w:t>6</w:t>
      </w:r>
      <w:r>
        <w:rPr>
          <w:b/>
          <w:bCs/>
        </w:rPr>
        <w:t>.) önkormányzati rendelete</w:t>
      </w:r>
    </w:p>
    <w:p w:rsidR="00003F3F" w:rsidRDefault="008815C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közvilágítás üzemeltetésével kapcsolatos szabályokról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>Tokaj Város Önkormányzat Képviselő-testülete a veszélyhelyzet során a közvilágítás üzemeltetésével kapcsolatos szabályokról szóló 449/2022. (XI. 9.) Korm. rendelet 4. §</w:t>
      </w:r>
      <w:proofErr w:type="spellStart"/>
      <w:r>
        <w:t>-ban</w:t>
      </w:r>
      <w:proofErr w:type="spellEnd"/>
      <w:r>
        <w:t xml:space="preserve"> kapott felhatalmazás alapján, az Alaptörvény 32. cikk (2) bekezdésében, Magyarország helyi önkormányzatairól szóló 2011.évi CLXXXIX. törvény 13. § (1) bekezdés 2. pontjában biztosított feladatkörében eljárva, Tokaj Város Képviselő-testületének Szervezeti és Működési Szabályzatáról szóló 14/2019.(XI. 29.) önkormányzati rendeletben biztosított – véleményezési jogkörében eljáró Ügyrendi, Jogi és Humánpolitikai Bizottság, a Pénzügyi és Településfejlesztési Bizottság és a Kulturális, Turisztikai, Nemzetközi kapcsolatokért felelős Bizottság – véleményének kikérésével – a következőket rendeli el:</w:t>
      </w:r>
    </w:p>
    <w:p w:rsidR="00003F3F" w:rsidRDefault="008815C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03F3F" w:rsidRDefault="008815C0">
      <w:pPr>
        <w:pStyle w:val="Szvegtrzs"/>
        <w:spacing w:after="0" w:line="240" w:lineRule="auto"/>
        <w:jc w:val="both"/>
      </w:pPr>
      <w:r>
        <w:t>Az Ukrajna területén fennálló fegyveres konfliktusra, illetve humanitárius katasztrófára tekintettel, valamint ezek magyarországi következményeinek az elhárítása és kezelése érdekében veszélyhelyzet kihirdetéséről és egyes veszélyhelyzeti szabályokról szóló 424/2022. (X. 28.) Korm. rendelet szerinti veszélyhelyzet ideje alatt a települési önkormányzat képviselő-testülete a közbiztonsági, vagyon- és személyvédelmi, valamint közútbiztonsági szempontokra figyelemmel a közvilágításra vonatkozó helyi működési rend meghatározása keretében elrendeli</w:t>
      </w:r>
    </w:p>
    <w:p w:rsidR="00003F3F" w:rsidRDefault="008815C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közvilágítást biztosító lámpatestek számának 1. melléklet szerinti csökkentését,</w:t>
      </w:r>
    </w:p>
    <w:p w:rsidR="00003F3F" w:rsidRDefault="008815C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az a) pontban meghatározott lámpatest szám csökkenés eredményeként a közvilágítás </w:t>
      </w:r>
      <w:r w:rsidR="00023AF3">
        <w:t>biztosítására felhasznált 324.120</w:t>
      </w:r>
      <w:r>
        <w:t xml:space="preserve"> </w:t>
      </w:r>
      <w:r w:rsidR="00023AF3">
        <w:t>k</w:t>
      </w:r>
      <w:r>
        <w:t xml:space="preserve">W/év </w:t>
      </w:r>
      <w:proofErr w:type="spellStart"/>
      <w:r>
        <w:t>v</w:t>
      </w:r>
      <w:r w:rsidR="00023AF3">
        <w:t>illamosenergia</w:t>
      </w:r>
      <w:proofErr w:type="spellEnd"/>
      <w:r w:rsidR="00023AF3">
        <w:t xml:space="preserve"> fogyasztás 94.118</w:t>
      </w:r>
      <w:r>
        <w:t xml:space="preserve"> </w:t>
      </w:r>
      <w:r w:rsidR="00023AF3">
        <w:t>k</w:t>
      </w:r>
      <w:r>
        <w:t>W/év mennyiséggel történő csökkentését.</w:t>
      </w:r>
    </w:p>
    <w:p w:rsidR="00003F3F" w:rsidRDefault="008815C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F0018" w:rsidRDefault="008815C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FF0018" w:rsidRDefault="00FF0018">
      <w:pPr>
        <w:pStyle w:val="Szvegtrzs"/>
        <w:spacing w:after="0" w:line="240" w:lineRule="auto"/>
        <w:jc w:val="both"/>
      </w:pPr>
    </w:p>
    <w:p w:rsidR="00FF0018" w:rsidRDefault="00FF0018">
      <w:pPr>
        <w:pStyle w:val="Szvegtrzs"/>
        <w:spacing w:after="0" w:line="240" w:lineRule="auto"/>
        <w:jc w:val="both"/>
      </w:pPr>
    </w:p>
    <w:p w:rsidR="00FF0018" w:rsidRDefault="00FF0018">
      <w:pPr>
        <w:pStyle w:val="Szvegtrzs"/>
        <w:spacing w:after="0" w:line="240" w:lineRule="auto"/>
        <w:jc w:val="both"/>
      </w:pPr>
    </w:p>
    <w:p w:rsidR="00FF0018" w:rsidRDefault="00FF0018" w:rsidP="00FF0018">
      <w:pPr>
        <w:pStyle w:val="Szvegtrzs"/>
        <w:spacing w:after="0" w:line="240" w:lineRule="auto"/>
        <w:jc w:val="both"/>
      </w:pPr>
      <w:r>
        <w:t>Péterné Ferenc Zsuzsanna</w:t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:rsidR="00FF0018" w:rsidRDefault="00FF0018" w:rsidP="00FF0018">
      <w:pPr>
        <w:pStyle w:val="Szvegtrzs"/>
        <w:spacing w:after="0" w:line="240" w:lineRule="auto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7A2C74" w:rsidRDefault="007A2C74" w:rsidP="00FF0018">
      <w:pPr>
        <w:pStyle w:val="Szvegtrzs"/>
        <w:spacing w:after="0" w:line="240" w:lineRule="auto"/>
        <w:jc w:val="both"/>
      </w:pPr>
    </w:p>
    <w:p w:rsidR="007A2C74" w:rsidRDefault="007A2C74" w:rsidP="00FF0018">
      <w:pPr>
        <w:pStyle w:val="Szvegtrzs"/>
        <w:spacing w:after="0" w:line="240" w:lineRule="auto"/>
        <w:jc w:val="both"/>
      </w:pPr>
    </w:p>
    <w:p w:rsidR="007A2C74" w:rsidRDefault="007A2C74" w:rsidP="00FF0018">
      <w:pPr>
        <w:pStyle w:val="Szvegtrzs"/>
        <w:spacing w:after="0" w:line="240" w:lineRule="auto"/>
        <w:jc w:val="both"/>
      </w:pPr>
    </w:p>
    <w:p w:rsidR="007A2C74" w:rsidRDefault="007A2C74" w:rsidP="00FF0018">
      <w:pPr>
        <w:pStyle w:val="Szvegtrzs"/>
        <w:spacing w:after="0" w:line="240" w:lineRule="auto"/>
        <w:jc w:val="both"/>
      </w:pPr>
    </w:p>
    <w:p w:rsidR="007A2C74" w:rsidRDefault="007A2C74" w:rsidP="007A2C74">
      <w:pPr>
        <w:pStyle w:val="Szvegtrzs"/>
        <w:jc w:val="center"/>
      </w:pPr>
      <w:r>
        <w:t>Kihirdetési záradék</w:t>
      </w:r>
    </w:p>
    <w:p w:rsidR="007A2C74" w:rsidRDefault="007A2C74" w:rsidP="007A2C74">
      <w:pPr>
        <w:pStyle w:val="Szvegtrzs"/>
        <w:jc w:val="both"/>
      </w:pPr>
    </w:p>
    <w:p w:rsidR="007A2C74" w:rsidRDefault="007A2C74" w:rsidP="007A2C74">
      <w:pPr>
        <w:pStyle w:val="Szvegtrzs"/>
        <w:jc w:val="both"/>
      </w:pPr>
      <w:r>
        <w:t>A rendelet kihirdet</w:t>
      </w:r>
      <w:r>
        <w:t>ésének napja: 2022. november 16</w:t>
      </w:r>
      <w:bookmarkStart w:id="0" w:name="_GoBack"/>
      <w:bookmarkEnd w:id="0"/>
      <w:r>
        <w:t>.</w:t>
      </w:r>
    </w:p>
    <w:p w:rsidR="007A2C74" w:rsidRDefault="007A2C74" w:rsidP="007A2C74">
      <w:pPr>
        <w:pStyle w:val="Szvegtrz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Péterné Ferencz Zsuzsanna </w:t>
      </w:r>
    </w:p>
    <w:p w:rsidR="007A2C74" w:rsidRDefault="007A2C74" w:rsidP="007A2C74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  <w:r>
        <w:tab/>
        <w:t> </w:t>
      </w:r>
    </w:p>
    <w:p w:rsidR="00003F3F" w:rsidRDefault="008815C0">
      <w:pPr>
        <w:pStyle w:val="Szvegtrzs"/>
        <w:spacing w:after="0" w:line="240" w:lineRule="auto"/>
        <w:jc w:val="both"/>
      </w:pPr>
      <w:r>
        <w:br w:type="page"/>
      </w:r>
    </w:p>
    <w:p w:rsidR="00003F3F" w:rsidRDefault="008815C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003F3F" w:rsidRDefault="008815C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Tokaj város közigazgatási területén kikapcsolandó közvilágítást biztosító lámpatestek 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1. Csurgó völgyi út - 10 db 79 </w:t>
      </w:r>
      <w:proofErr w:type="spellStart"/>
      <w:r>
        <w:t>W-os</w:t>
      </w:r>
      <w:proofErr w:type="spellEnd"/>
      <w:r>
        <w:t xml:space="preserve">, 1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2. Váradi út - 3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3. Bethlen Gábor út - 3 db 174 </w:t>
      </w:r>
      <w:proofErr w:type="spellStart"/>
      <w:r>
        <w:t>W-os</w:t>
      </w:r>
      <w:proofErr w:type="spellEnd"/>
      <w:r>
        <w:t xml:space="preserve">, 39 db 117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4. Vasvári Pál út - 3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5. Szepsi László út - 4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6. Aranyosi út - 3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7. Mosolygó út - 3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8. Serház út - 4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9. </w:t>
      </w:r>
      <w:proofErr w:type="gramStart"/>
      <w:r>
        <w:t>Óvár út</w:t>
      </w:r>
      <w:proofErr w:type="gramEnd"/>
      <w:r>
        <w:t xml:space="preserve"> - 1 db 117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10. Kossuth tér - 19 db 117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11. Rákóczi út - 29 db 117 </w:t>
      </w:r>
      <w:proofErr w:type="spellStart"/>
      <w:r>
        <w:t>W-os</w:t>
      </w:r>
      <w:proofErr w:type="spellEnd"/>
      <w:r>
        <w:t xml:space="preserve">, 2 db174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12. </w:t>
      </w:r>
      <w:proofErr w:type="spellStart"/>
      <w:r>
        <w:t>Bajcsy-Zs</w:t>
      </w:r>
      <w:proofErr w:type="spellEnd"/>
      <w:r>
        <w:t xml:space="preserve">. E. </w:t>
      </w:r>
      <w:proofErr w:type="gramStart"/>
      <w:r>
        <w:t>út</w:t>
      </w:r>
      <w:proofErr w:type="gramEnd"/>
      <w:r>
        <w:t xml:space="preserve"> - 10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13. Ady E. </w:t>
      </w:r>
      <w:proofErr w:type="gramStart"/>
      <w:r>
        <w:t>út</w:t>
      </w:r>
      <w:proofErr w:type="gramEnd"/>
      <w:r>
        <w:t xml:space="preserve"> - 6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14. Tokaji F. </w:t>
      </w:r>
      <w:proofErr w:type="gramStart"/>
      <w:r>
        <w:t>út</w:t>
      </w:r>
      <w:proofErr w:type="gramEnd"/>
      <w:r>
        <w:t xml:space="preserve"> - 1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15. Tokaji F. </w:t>
      </w:r>
      <w:proofErr w:type="spellStart"/>
      <w:r>
        <w:t>ltp</w:t>
      </w:r>
      <w:proofErr w:type="spellEnd"/>
      <w:r>
        <w:t xml:space="preserve">. - 3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16. Benedek P. út - 2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17. Baross G. </w:t>
      </w:r>
      <w:proofErr w:type="gramStart"/>
      <w:r>
        <w:t>út</w:t>
      </w:r>
      <w:proofErr w:type="gramEnd"/>
      <w:r>
        <w:t xml:space="preserve"> - 5 db 87 </w:t>
      </w:r>
      <w:proofErr w:type="spellStart"/>
      <w:r>
        <w:t>W-os</w:t>
      </w:r>
      <w:proofErr w:type="spellEnd"/>
      <w:r>
        <w:t xml:space="preserve">, 3 db 174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18. Hunyadi út - 3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19. Báró Hirsch út - 2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20. Csokonai út - 2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21. Klapka út - 6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22. Malom út - 3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23. Jókai út - 4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24. Tarcali út - 14 db 174 </w:t>
      </w:r>
      <w:proofErr w:type="spellStart"/>
      <w:r>
        <w:t>W-os</w:t>
      </w:r>
      <w:proofErr w:type="spellEnd"/>
      <w:r>
        <w:t xml:space="preserve">, 1 db 117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25. Ladányi út - 7 db 117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26. Gr. Apponyi út - 8 db 87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lastRenderedPageBreak/>
        <w:t xml:space="preserve">27. Bartók B. út - 5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28. Kodály Z. </w:t>
      </w:r>
      <w:proofErr w:type="gramStart"/>
      <w:r>
        <w:t>út</w:t>
      </w:r>
      <w:proofErr w:type="gramEnd"/>
      <w:r>
        <w:t xml:space="preserve"> - 3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29. Deák F. </w:t>
      </w:r>
      <w:proofErr w:type="gramStart"/>
      <w:r>
        <w:t>út</w:t>
      </w:r>
      <w:proofErr w:type="gramEnd"/>
      <w:r>
        <w:t xml:space="preserve"> - 2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30. Németi F. </w:t>
      </w:r>
      <w:proofErr w:type="gramStart"/>
      <w:r>
        <w:t>út</w:t>
      </w:r>
      <w:proofErr w:type="gramEnd"/>
      <w:r>
        <w:t xml:space="preserve"> - 3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31. </w:t>
      </w:r>
      <w:proofErr w:type="spellStart"/>
      <w:r>
        <w:t>Tenkács</w:t>
      </w:r>
      <w:proofErr w:type="spellEnd"/>
      <w:r>
        <w:t xml:space="preserve"> F. </w:t>
      </w:r>
      <w:proofErr w:type="gramStart"/>
      <w:r>
        <w:t>út</w:t>
      </w:r>
      <w:proofErr w:type="gramEnd"/>
      <w:r>
        <w:t xml:space="preserve"> - 1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32. Zrínyi M. út - 1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33. Bocskai út - 4 db 34 </w:t>
      </w:r>
      <w:proofErr w:type="spellStart"/>
      <w:r>
        <w:t>W-os</w:t>
      </w:r>
      <w:proofErr w:type="spellEnd"/>
      <w:r>
        <w:t>.</w:t>
      </w:r>
    </w:p>
    <w:p w:rsidR="00003F3F" w:rsidRDefault="008815C0">
      <w:pPr>
        <w:pStyle w:val="Szvegtrzs"/>
        <w:spacing w:before="220" w:after="0" w:line="240" w:lineRule="auto"/>
        <w:jc w:val="both"/>
      </w:pPr>
      <w:r>
        <w:t xml:space="preserve">34. Petőfi út 2- db 87 </w:t>
      </w:r>
      <w:proofErr w:type="spellStart"/>
      <w:r>
        <w:t>W-os</w:t>
      </w:r>
      <w:proofErr w:type="spellEnd"/>
      <w:r>
        <w:t>.</w:t>
      </w:r>
    </w:p>
    <w:p w:rsidR="00FF0018" w:rsidRDefault="00FF0018">
      <w:pPr>
        <w:pStyle w:val="Szvegtrzs"/>
        <w:spacing w:before="220" w:after="0" w:line="240" w:lineRule="auto"/>
        <w:jc w:val="both"/>
        <w:sectPr w:rsidR="00FF0018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003F3F" w:rsidRDefault="00003F3F">
      <w:pPr>
        <w:pStyle w:val="Szvegtrzs"/>
        <w:spacing w:after="0"/>
        <w:jc w:val="center"/>
      </w:pPr>
    </w:p>
    <w:p w:rsidR="00003F3F" w:rsidRDefault="008815C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003F3F" w:rsidRDefault="008815C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03F3F" w:rsidRDefault="008815C0">
      <w:pPr>
        <w:pStyle w:val="Szvegtrzs"/>
        <w:spacing w:after="0" w:line="240" w:lineRule="auto"/>
        <w:ind w:right="159"/>
        <w:jc w:val="both"/>
      </w:pPr>
      <w:r>
        <w:t xml:space="preserve">Tokaj Város Önkormányzat Képviselő-testülete a közvilágításra vonatkozó helyi működési rend meghatározása keretében elrendelte  a közvilágítást biztosító lámpatestek számának 1. melléklet szerinti csökkentését és  a közvilágítás biztosítására felhasznált 88.800 W/év </w:t>
      </w:r>
      <w:proofErr w:type="spellStart"/>
      <w:r>
        <w:t>villamosenergia</w:t>
      </w:r>
      <w:proofErr w:type="spellEnd"/>
      <w:r>
        <w:t xml:space="preserve"> fogyasztás 25.786 W/év mennyiséggel történő csökkentését.</w:t>
      </w:r>
    </w:p>
    <w:p w:rsidR="00003F3F" w:rsidRDefault="008815C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03F3F" w:rsidRDefault="008815C0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rendelkezés.</w:t>
      </w:r>
    </w:p>
    <w:p w:rsidR="00003F3F" w:rsidRDefault="008815C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melléklethez </w:t>
      </w:r>
    </w:p>
    <w:p w:rsidR="00003F3F" w:rsidRDefault="008815C0">
      <w:pPr>
        <w:pStyle w:val="Szvegtrzs"/>
        <w:spacing w:before="159" w:after="159" w:line="240" w:lineRule="auto"/>
        <w:ind w:left="159" w:right="159"/>
        <w:jc w:val="both"/>
      </w:pPr>
      <w:r>
        <w:t>Tokaj város közigazgatási területén kikapcsolandó közvilágítást biztosító lámpatestek helyének és számának  meghatározása.</w:t>
      </w:r>
    </w:p>
    <w:sectPr w:rsidR="00003F3F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34" w:rsidRDefault="005C7C34">
      <w:r>
        <w:separator/>
      </w:r>
    </w:p>
  </w:endnote>
  <w:endnote w:type="continuationSeparator" w:id="0">
    <w:p w:rsidR="005C7C34" w:rsidRDefault="005C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3F" w:rsidRDefault="008815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A2C7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3F" w:rsidRDefault="008815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A2C7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34" w:rsidRDefault="005C7C34">
      <w:r>
        <w:separator/>
      </w:r>
    </w:p>
  </w:footnote>
  <w:footnote w:type="continuationSeparator" w:id="0">
    <w:p w:rsidR="005C7C34" w:rsidRDefault="005C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7D16"/>
    <w:multiLevelType w:val="multilevel"/>
    <w:tmpl w:val="09B0104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F3F"/>
    <w:rsid w:val="00003F3F"/>
    <w:rsid w:val="00023AF3"/>
    <w:rsid w:val="0050470B"/>
    <w:rsid w:val="005805A3"/>
    <w:rsid w:val="005C7C34"/>
    <w:rsid w:val="007A2C74"/>
    <w:rsid w:val="008815C0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AF3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AF3"/>
    <w:rPr>
      <w:rFonts w:ascii="Tahoma" w:hAnsi="Tahoma" w:cs="Mangal"/>
      <w:sz w:val="16"/>
      <w:szCs w:val="1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AF3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AF3"/>
    <w:rPr>
      <w:rFonts w:ascii="Tahoma" w:hAnsi="Tahoma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cp:lastPrinted>2022-11-15T07:09:00Z</cp:lastPrinted>
  <dcterms:created xsi:type="dcterms:W3CDTF">2022-11-15T08:43:00Z</dcterms:created>
  <dcterms:modified xsi:type="dcterms:W3CDTF">2022-11-15T08:43:00Z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